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151F0" w:rsidRPr="00B228B7" w:rsidRDefault="00F151F0">
      <w:pPr>
        <w:rPr>
          <w:color w:val="auto"/>
          <w:lang w:eastAsia="en-US"/>
        </w:rPr>
      </w:pPr>
    </w:p>
    <w:p w:rsidR="00F151F0" w:rsidRPr="00B228B7" w:rsidRDefault="00F151F0">
      <w:pPr>
        <w:rPr>
          <w:color w:val="auto"/>
          <w:lang w:eastAsia="en-US"/>
        </w:rPr>
      </w:pPr>
    </w:p>
    <w:p w:rsidR="00F151F0" w:rsidRPr="00B228B7" w:rsidRDefault="00F151F0">
      <w:pPr>
        <w:rPr>
          <w:color w:val="auto"/>
          <w:lang w:eastAsia="en-US"/>
        </w:rPr>
      </w:pPr>
    </w:p>
    <w:p w:rsidR="00F151F0" w:rsidRPr="00B228B7" w:rsidRDefault="00F151F0">
      <w:pPr>
        <w:rPr>
          <w:color w:val="auto"/>
          <w:lang w:eastAsia="en-US"/>
        </w:rPr>
      </w:pPr>
    </w:p>
    <w:p w:rsidR="00F151F0" w:rsidRPr="00B228B7" w:rsidRDefault="00F151F0">
      <w:pPr>
        <w:rPr>
          <w:color w:val="auto"/>
          <w:lang w:eastAsia="en-US"/>
        </w:rPr>
      </w:pPr>
    </w:p>
    <w:p w:rsidR="00F151F0" w:rsidRPr="00B228B7" w:rsidRDefault="00F151F0">
      <w:pPr>
        <w:rPr>
          <w:color w:val="auto"/>
          <w:lang w:eastAsia="en-US"/>
        </w:rPr>
      </w:pPr>
    </w:p>
    <w:p w:rsidR="00F151F0" w:rsidRPr="00B228B7" w:rsidRDefault="00F151F0">
      <w:pPr>
        <w:rPr>
          <w:color w:val="auto"/>
          <w:lang w:eastAsia="en-US"/>
        </w:rPr>
      </w:pPr>
    </w:p>
    <w:p w:rsidR="00F151F0" w:rsidRPr="00B228B7" w:rsidRDefault="00F151F0">
      <w:pPr>
        <w:rPr>
          <w:color w:val="auto"/>
          <w:lang w:eastAsia="en-US"/>
        </w:rPr>
      </w:pPr>
    </w:p>
    <w:p w:rsidR="00F151F0" w:rsidRPr="00B228B7" w:rsidRDefault="00F151F0">
      <w:pPr>
        <w:rPr>
          <w:color w:val="auto"/>
          <w:lang w:eastAsia="en-US"/>
        </w:rPr>
      </w:pPr>
    </w:p>
    <w:p w:rsidR="00F151F0" w:rsidRPr="00B228B7" w:rsidRDefault="00F151F0">
      <w:pPr>
        <w:rPr>
          <w:color w:val="auto"/>
          <w:lang w:eastAsia="en-US"/>
        </w:rPr>
      </w:pPr>
    </w:p>
    <w:p w:rsidR="00F151F0" w:rsidRPr="00B228B7" w:rsidRDefault="00F151F0">
      <w:pPr>
        <w:rPr>
          <w:rFonts w:ascii="Arial" w:hAnsi="Arial" w:cs="Arial"/>
          <w:b/>
          <w:color w:val="auto"/>
          <w:sz w:val="24"/>
          <w:szCs w:val="24"/>
          <w:lang w:eastAsia="en-US"/>
        </w:rPr>
      </w:pPr>
    </w:p>
    <w:p w:rsidR="006320FA" w:rsidRPr="00B228B7" w:rsidRDefault="00C159C6">
      <w:pPr>
        <w:pStyle w:val="Ttulo"/>
        <w:spacing w:line="480" w:lineRule="auto"/>
        <w:ind w:firstLine="0"/>
        <w:jc w:val="center"/>
        <w:rPr>
          <w:rFonts w:ascii="Arial" w:hAnsi="Arial" w:cs="Arial"/>
          <w:b/>
          <w:color w:val="auto"/>
          <w:lang w:eastAsia="en-US"/>
        </w:rPr>
      </w:pPr>
      <w:r w:rsidRPr="00B228B7">
        <w:rPr>
          <w:rFonts w:ascii="Arial" w:eastAsia="Times New Roman" w:hAnsi="Arial" w:cs="Arial"/>
          <w:b/>
          <w:color w:val="auto"/>
          <w:lang w:eastAsia="en-US"/>
        </w:rPr>
        <w:t>Instrucciones para solicitar las ayudas al almacenamiento privado de carne de porcino por el sistema de ayuda fi</w:t>
      </w:r>
      <w:bookmarkStart w:id="0" w:name="_GoBack"/>
      <w:bookmarkEnd w:id="0"/>
      <w:r w:rsidRPr="00B228B7">
        <w:rPr>
          <w:rFonts w:ascii="Arial" w:eastAsia="Times New Roman" w:hAnsi="Arial" w:cs="Arial"/>
          <w:b/>
          <w:color w:val="auto"/>
          <w:lang w:eastAsia="en-US"/>
        </w:rPr>
        <w:t>jada por anticipado.</w:t>
      </w:r>
      <w:r w:rsidR="000145EF" w:rsidRPr="00B228B7">
        <w:rPr>
          <w:rFonts w:ascii="Arial" w:hAnsi="Arial" w:cs="Arial"/>
          <w:b/>
          <w:color w:val="auto"/>
          <w:lang w:eastAsia="en-US"/>
        </w:rPr>
        <w:t xml:space="preserve"> </w:t>
      </w:r>
    </w:p>
    <w:p w:rsidR="00F151F0" w:rsidRPr="00B228B7" w:rsidRDefault="000145EF">
      <w:pPr>
        <w:pStyle w:val="Ttulo"/>
        <w:spacing w:line="480" w:lineRule="auto"/>
        <w:ind w:firstLine="0"/>
        <w:jc w:val="center"/>
        <w:rPr>
          <w:rFonts w:ascii="Arial" w:hAnsi="Arial" w:cs="Arial"/>
          <w:b/>
          <w:color w:val="auto"/>
        </w:rPr>
      </w:pPr>
      <w:r w:rsidRPr="00B228B7">
        <w:rPr>
          <w:rFonts w:ascii="Arial" w:hAnsi="Arial" w:cs="Arial"/>
          <w:b/>
          <w:color w:val="auto"/>
          <w:lang w:eastAsia="en-US"/>
        </w:rPr>
        <w:t>(FEAGA 202</w:t>
      </w:r>
      <w:r w:rsidR="006320FA" w:rsidRPr="00B228B7">
        <w:rPr>
          <w:rFonts w:ascii="Arial" w:hAnsi="Arial" w:cs="Arial"/>
          <w:b/>
          <w:color w:val="auto"/>
          <w:lang w:eastAsia="en-US"/>
        </w:rPr>
        <w:t>2 y siguientes</w:t>
      </w:r>
      <w:r w:rsidRPr="00B228B7">
        <w:rPr>
          <w:rFonts w:ascii="Arial" w:hAnsi="Arial" w:cs="Arial"/>
          <w:b/>
          <w:color w:val="auto"/>
          <w:lang w:eastAsia="en-US"/>
        </w:rPr>
        <w:t>)</w:t>
      </w:r>
    </w:p>
    <w:p w:rsidR="00F151F0" w:rsidRPr="00B228B7" w:rsidRDefault="00F151F0">
      <w:pPr>
        <w:rPr>
          <w:rFonts w:ascii="Arial" w:hAnsi="Arial" w:cs="Arial"/>
          <w:b/>
          <w:color w:val="auto"/>
          <w:sz w:val="24"/>
          <w:szCs w:val="24"/>
          <w:lang w:eastAsia="en-US"/>
        </w:rPr>
      </w:pPr>
    </w:p>
    <w:p w:rsidR="00F151F0" w:rsidRPr="00B228B7" w:rsidRDefault="00F151F0">
      <w:pPr>
        <w:rPr>
          <w:rFonts w:ascii="Arial" w:hAnsi="Arial" w:cs="Arial"/>
          <w:b/>
          <w:color w:val="auto"/>
          <w:sz w:val="24"/>
          <w:szCs w:val="24"/>
          <w:lang w:eastAsia="en-US"/>
        </w:rPr>
      </w:pPr>
    </w:p>
    <w:p w:rsidR="00F151F0" w:rsidRPr="00B228B7" w:rsidRDefault="00F151F0">
      <w:pPr>
        <w:rPr>
          <w:rFonts w:ascii="Arial" w:hAnsi="Arial" w:cs="Arial"/>
          <w:b/>
          <w:color w:val="auto"/>
          <w:sz w:val="24"/>
          <w:szCs w:val="24"/>
          <w:lang w:eastAsia="en-US"/>
        </w:rPr>
      </w:pPr>
    </w:p>
    <w:p w:rsidR="00F151F0" w:rsidRPr="00B228B7" w:rsidRDefault="00F151F0">
      <w:pPr>
        <w:rPr>
          <w:rFonts w:ascii="Arial" w:hAnsi="Arial" w:cs="Arial"/>
          <w:b/>
          <w:color w:val="auto"/>
          <w:sz w:val="24"/>
          <w:szCs w:val="24"/>
          <w:lang w:eastAsia="en-US"/>
        </w:rPr>
      </w:pPr>
    </w:p>
    <w:p w:rsidR="00F151F0" w:rsidRPr="00B228B7" w:rsidRDefault="00F151F0">
      <w:pPr>
        <w:rPr>
          <w:rFonts w:ascii="Arial" w:hAnsi="Arial" w:cs="Arial"/>
          <w:b/>
          <w:color w:val="auto"/>
          <w:sz w:val="24"/>
          <w:szCs w:val="24"/>
          <w:lang w:eastAsia="en-US"/>
        </w:rPr>
      </w:pPr>
    </w:p>
    <w:p w:rsidR="00F151F0" w:rsidRPr="00B228B7" w:rsidRDefault="00F151F0">
      <w:pPr>
        <w:rPr>
          <w:rFonts w:ascii="Arial" w:hAnsi="Arial" w:cs="Arial"/>
          <w:b/>
          <w:color w:val="auto"/>
          <w:sz w:val="24"/>
          <w:szCs w:val="24"/>
          <w:lang w:eastAsia="en-US"/>
        </w:rPr>
      </w:pPr>
    </w:p>
    <w:p w:rsidR="00F151F0" w:rsidRPr="00B228B7" w:rsidRDefault="00F151F0">
      <w:pPr>
        <w:rPr>
          <w:rFonts w:ascii="Arial" w:hAnsi="Arial" w:cs="Arial"/>
          <w:b/>
          <w:color w:val="auto"/>
          <w:sz w:val="24"/>
          <w:szCs w:val="24"/>
          <w:lang w:eastAsia="en-US"/>
        </w:rPr>
      </w:pPr>
    </w:p>
    <w:p w:rsidR="00F151F0" w:rsidRPr="00B228B7" w:rsidRDefault="00F151F0">
      <w:pPr>
        <w:rPr>
          <w:rFonts w:ascii="Arial" w:hAnsi="Arial" w:cs="Arial"/>
          <w:b/>
          <w:color w:val="auto"/>
          <w:sz w:val="24"/>
          <w:szCs w:val="24"/>
          <w:lang w:eastAsia="en-US"/>
        </w:rPr>
      </w:pPr>
    </w:p>
    <w:p w:rsidR="00F151F0" w:rsidRPr="00B228B7" w:rsidRDefault="00F151F0">
      <w:pPr>
        <w:rPr>
          <w:rFonts w:ascii="Arial" w:hAnsi="Arial" w:cs="Arial"/>
          <w:b/>
          <w:color w:val="auto"/>
          <w:sz w:val="24"/>
          <w:szCs w:val="24"/>
          <w:lang w:eastAsia="en-US"/>
        </w:rPr>
      </w:pPr>
    </w:p>
    <w:p w:rsidR="00F151F0" w:rsidRPr="00B228B7" w:rsidRDefault="000145EF">
      <w:pPr>
        <w:spacing w:before="120" w:after="240"/>
        <w:jc w:val="right"/>
        <w:rPr>
          <w:rFonts w:ascii="Arial" w:hAnsi="Arial" w:cs="Arial"/>
          <w:b/>
          <w:color w:val="auto"/>
          <w:sz w:val="24"/>
          <w:szCs w:val="24"/>
        </w:rPr>
      </w:pPr>
      <w:r w:rsidRPr="00B228B7">
        <w:rPr>
          <w:rFonts w:ascii="Arial" w:hAnsi="Arial" w:cs="Arial"/>
          <w:b/>
          <w:color w:val="auto"/>
          <w:sz w:val="24"/>
          <w:szCs w:val="24"/>
        </w:rPr>
        <w:t>DIRECCIÓN GENERAL DE INNOVACION Y PROMOCION AGROALIMENTARIAS</w:t>
      </w:r>
    </w:p>
    <w:p w:rsidR="00F151F0" w:rsidRPr="00B228B7" w:rsidRDefault="000145EF">
      <w:pPr>
        <w:spacing w:before="120" w:after="240"/>
        <w:jc w:val="right"/>
        <w:rPr>
          <w:rFonts w:ascii="Arial" w:hAnsi="Arial" w:cs="Arial"/>
          <w:b/>
          <w:color w:val="auto"/>
          <w:sz w:val="24"/>
          <w:szCs w:val="24"/>
        </w:rPr>
      </w:pPr>
      <w:r w:rsidRPr="00B228B7">
        <w:rPr>
          <w:rFonts w:ascii="Arial" w:hAnsi="Arial" w:cs="Arial"/>
          <w:b/>
          <w:color w:val="auto"/>
          <w:sz w:val="24"/>
          <w:szCs w:val="24"/>
        </w:rPr>
        <w:t>SERVICIO DE AYUDAS A LA ORGANIZACIÓN DE MERCADOS</w:t>
      </w:r>
    </w:p>
    <w:p w:rsidR="00F151F0" w:rsidRPr="00B228B7" w:rsidRDefault="006320FA">
      <w:pPr>
        <w:spacing w:before="120" w:after="240"/>
        <w:jc w:val="right"/>
        <w:rPr>
          <w:rFonts w:ascii="Arial" w:hAnsi="Arial" w:cs="Arial"/>
          <w:b/>
          <w:color w:val="auto"/>
          <w:sz w:val="24"/>
          <w:szCs w:val="24"/>
        </w:rPr>
      </w:pPr>
      <w:r w:rsidRPr="00B228B7">
        <w:rPr>
          <w:rFonts w:ascii="Arial" w:hAnsi="Arial" w:cs="Arial"/>
          <w:b/>
          <w:color w:val="auto"/>
          <w:sz w:val="24"/>
          <w:szCs w:val="24"/>
        </w:rPr>
        <w:t>MARZO</w:t>
      </w:r>
      <w:r w:rsidR="000145EF" w:rsidRPr="00B228B7">
        <w:rPr>
          <w:rFonts w:ascii="Arial" w:hAnsi="Arial" w:cs="Arial"/>
          <w:b/>
          <w:color w:val="auto"/>
          <w:sz w:val="24"/>
          <w:szCs w:val="24"/>
        </w:rPr>
        <w:t xml:space="preserve"> 202</w:t>
      </w:r>
      <w:r w:rsidRPr="00B228B7">
        <w:rPr>
          <w:rFonts w:ascii="Arial" w:hAnsi="Arial" w:cs="Arial"/>
          <w:b/>
          <w:color w:val="auto"/>
          <w:sz w:val="24"/>
          <w:szCs w:val="24"/>
        </w:rPr>
        <w:t>2</w:t>
      </w:r>
    </w:p>
    <w:p w:rsidR="00F151F0" w:rsidRPr="00B228B7" w:rsidRDefault="00F151F0">
      <w:pPr>
        <w:rPr>
          <w:color w:val="auto"/>
          <w:lang w:eastAsia="en-US"/>
        </w:rPr>
      </w:pPr>
    </w:p>
    <w:p w:rsidR="00F151F0" w:rsidRPr="00B228B7" w:rsidRDefault="000145EF">
      <w:pPr>
        <w:suppressAutoHyphens w:val="0"/>
        <w:spacing w:after="0"/>
        <w:ind w:firstLine="0"/>
        <w:jc w:val="left"/>
        <w:rPr>
          <w:b/>
          <w:color w:val="auto"/>
          <w:lang w:eastAsia="en-US"/>
        </w:rPr>
      </w:pPr>
      <w:r w:rsidRPr="00B228B7">
        <w:rPr>
          <w:color w:val="auto"/>
        </w:rPr>
        <w:br w:type="page"/>
      </w:r>
    </w:p>
    <w:p w:rsidR="00624B5C" w:rsidRPr="00B228B7" w:rsidRDefault="00624B5C" w:rsidP="00CF7D0D">
      <w:pPr>
        <w:pStyle w:val="Ttulo1"/>
        <w:ind w:left="426" w:hanging="426"/>
        <w:jc w:val="left"/>
        <w:rPr>
          <w:color w:val="auto"/>
        </w:rPr>
      </w:pPr>
      <w:bookmarkStart w:id="1" w:name="_Toc93056050"/>
      <w:r w:rsidRPr="00B228B7">
        <w:rPr>
          <w:color w:val="auto"/>
        </w:rPr>
        <w:lastRenderedPageBreak/>
        <w:t>NORMATIVA Y FINALIDAD</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El Reglamento (UE) nº 1308/2013 del Parlamento Europeo y del Consejo de 17 de diciembre de 2013, por el que se crea la organización común de mercados de los productos agrarios y por el que se derogan los Reglamentos (CEE) nº 922/72, (CEE) nº 234/79, (CE) nº 1037/2001 y (CE) nº 1234/2007, dispone en la Sección 3 del Capítulo I del Título I, que se podrán conceder ayudas para el almacenamiento privado de ciertos productos dentro de las medidas de intervención para regulación del mercado interior del Estado miembro. En concreto, los artículos 17 y 18 del Reglamento (UE) nº 1308/2013 establecen la posibilidad de conceder una ayuda al almacenamiento privado de carne de porcino. </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El Reglamento Delegado (UE) 2016/1238 de la Comisión, de 18 de mayo de 2016, que completa el Reglamento (UE) nº 1308/2013 del Parlamento Europeo y del Consejo en lo que atañe a la intervención pública y la ayuda para el almacenamiento privado.</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El Reglamento de Ejecución (UE) 2016/1240 de la Comisión, de 18 de mayo de 2016, por el que se establecen disposiciones de aplicación del Reglamento (UE) nº 1308/2013 del Parlamento Europeo y del Consejo en lo que atañe a la intervención pública y a la ayuda para el almacenamiento privado.</w:t>
      </w:r>
    </w:p>
    <w:p w:rsidR="00270FCA" w:rsidRPr="00B228B7" w:rsidRDefault="00624B5C" w:rsidP="00270FCA">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Como consecuencia de la invasión de Rusia a Ucrania, y ante el posible impacto que pudiera tener sobre las exportaciones de carne de porcino a terceros países, la Comisión ha publicado el </w:t>
      </w:r>
      <w:r w:rsidR="00270FCA" w:rsidRPr="00B228B7">
        <w:rPr>
          <w:rFonts w:ascii="Arial" w:eastAsia="Calibri" w:hAnsi="Arial"/>
          <w:color w:val="auto"/>
          <w:sz w:val="24"/>
          <w:szCs w:val="22"/>
          <w:lang w:eastAsia="en-US"/>
        </w:rPr>
        <w:t>en el DOUE» núm. 96, de 24 de marzo de 2022, el Reglamento de Ejecución (UE</w:t>
      </w:r>
      <w:r w:rsidR="001D1396" w:rsidRPr="00B228B7">
        <w:rPr>
          <w:rFonts w:ascii="Arial" w:eastAsia="Calibri" w:hAnsi="Arial"/>
          <w:color w:val="auto"/>
          <w:sz w:val="24"/>
          <w:szCs w:val="22"/>
          <w:lang w:eastAsia="en-US"/>
        </w:rPr>
        <w:t xml:space="preserve">) 2022/470 de la Comisión de 23 </w:t>
      </w:r>
      <w:r w:rsidR="00270FCA" w:rsidRPr="00B228B7">
        <w:rPr>
          <w:rFonts w:ascii="Arial" w:eastAsia="Calibri" w:hAnsi="Arial"/>
          <w:color w:val="auto"/>
          <w:sz w:val="24"/>
          <w:szCs w:val="22"/>
          <w:lang w:eastAsia="en-US"/>
        </w:rPr>
        <w:t>de</w:t>
      </w:r>
      <w:r w:rsidR="001D1396" w:rsidRPr="00B228B7">
        <w:rPr>
          <w:rFonts w:ascii="Arial" w:eastAsia="Calibri" w:hAnsi="Arial"/>
          <w:color w:val="auto"/>
          <w:sz w:val="24"/>
          <w:szCs w:val="22"/>
          <w:lang w:eastAsia="en-US"/>
        </w:rPr>
        <w:t xml:space="preserve"> </w:t>
      </w:r>
      <w:r w:rsidR="00270FCA" w:rsidRPr="00B228B7">
        <w:rPr>
          <w:rFonts w:ascii="Arial" w:eastAsia="Calibri" w:hAnsi="Arial"/>
          <w:color w:val="auto"/>
          <w:sz w:val="24"/>
          <w:szCs w:val="22"/>
          <w:lang w:eastAsia="en-US"/>
        </w:rPr>
        <w:t>marzo de 2022 por el que se concede una ayuda al almacenamiento privado de carne de porcino y se fija por anticipado el importe de la ayuda.</w:t>
      </w:r>
    </w:p>
    <w:p w:rsidR="00624B5C" w:rsidRPr="00B228B7" w:rsidRDefault="00CF7D0D" w:rsidP="00CF7D0D">
      <w:pPr>
        <w:pStyle w:val="Ttulo1"/>
        <w:ind w:left="426" w:hanging="426"/>
        <w:jc w:val="left"/>
        <w:rPr>
          <w:color w:val="auto"/>
        </w:rPr>
      </w:pPr>
      <w:bookmarkStart w:id="2" w:name="_Toc98418595"/>
      <w:r w:rsidRPr="00B228B7">
        <w:rPr>
          <w:color w:val="auto"/>
        </w:rPr>
        <w:t>CONDICIONES GENERALES PROCEDIMIENTO DE ALMACENAMIENTO</w:t>
      </w:r>
      <w:bookmarkEnd w:id="2"/>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s-ES"/>
        </w:rPr>
      </w:pPr>
      <w:r w:rsidRPr="00B228B7">
        <w:rPr>
          <w:rFonts w:ascii="Arial" w:eastAsia="Calibri" w:hAnsi="Arial"/>
          <w:color w:val="auto"/>
          <w:sz w:val="24"/>
          <w:szCs w:val="22"/>
          <w:lang w:eastAsia="es-ES"/>
        </w:rPr>
        <w:t xml:space="preserve">Se considerará unidad gestora para las ayudas al almacenamiento privado de carne de porcino al Organismo Pagador de Aragón, cuando este ubicados en este ámbito territorial los correspondientes almacenes donde se vaya a realizar el almacenamiento. </w:t>
      </w:r>
    </w:p>
    <w:p w:rsidR="00270FCA" w:rsidRPr="00B228B7" w:rsidRDefault="00624B5C" w:rsidP="00270FCA">
      <w:pPr>
        <w:shd w:val="clear" w:color="auto" w:fill="auto"/>
        <w:suppressAutoHyphens w:val="0"/>
        <w:spacing w:before="120" w:after="120"/>
        <w:ind w:firstLine="0"/>
        <w:rPr>
          <w:rFonts w:ascii="Arial" w:eastAsia="Calibri" w:hAnsi="Arial"/>
          <w:color w:val="auto"/>
          <w:sz w:val="24"/>
          <w:szCs w:val="22"/>
          <w:lang w:eastAsia="es-ES"/>
        </w:rPr>
      </w:pPr>
      <w:r w:rsidRPr="00B228B7">
        <w:rPr>
          <w:rFonts w:ascii="Arial" w:eastAsia="Calibri" w:hAnsi="Arial"/>
          <w:color w:val="auto"/>
          <w:sz w:val="24"/>
          <w:szCs w:val="22"/>
          <w:lang w:eastAsia="es-ES"/>
        </w:rPr>
        <w:t>El producto para el que se pueden presentar solicitudes de ayuda de almacenamiento privado, es la carne de porcino fresca o refrigerada, q</w:t>
      </w:r>
      <w:r w:rsidR="00270FCA" w:rsidRPr="00B228B7">
        <w:rPr>
          <w:rFonts w:ascii="Arial" w:eastAsia="Calibri" w:hAnsi="Arial"/>
          <w:color w:val="auto"/>
          <w:sz w:val="24"/>
          <w:szCs w:val="22"/>
          <w:lang w:eastAsia="es-ES"/>
        </w:rPr>
        <w:t>ue aún no haya sido almacenada y que cumpla lo establecido en el anexo VI, parte III del Reglamento Delegado (UE) 2016/1238 de la Comisión:</w:t>
      </w:r>
    </w:p>
    <w:p w:rsidR="00270FCA" w:rsidRPr="00B228B7" w:rsidRDefault="00270FCA" w:rsidP="00C451EB">
      <w:pPr>
        <w:pStyle w:val="Prrafodelista"/>
        <w:numPr>
          <w:ilvl w:val="0"/>
          <w:numId w:val="30"/>
        </w:numPr>
        <w:shd w:val="clear" w:color="auto" w:fill="auto"/>
        <w:suppressAutoHyphens w:val="0"/>
        <w:spacing w:after="0"/>
        <w:contextualSpacing w:val="0"/>
        <w:rPr>
          <w:rFonts w:ascii="Arial" w:eastAsia="Calibri" w:hAnsi="Arial"/>
          <w:color w:val="auto"/>
          <w:sz w:val="24"/>
          <w:szCs w:val="22"/>
          <w:lang w:eastAsia="es-ES"/>
        </w:rPr>
      </w:pPr>
      <w:r w:rsidRPr="00B228B7">
        <w:rPr>
          <w:rFonts w:ascii="Arial" w:eastAsia="Calibri" w:hAnsi="Arial"/>
          <w:color w:val="auto"/>
          <w:sz w:val="24"/>
          <w:szCs w:val="22"/>
          <w:lang w:eastAsia="es-ES"/>
        </w:rPr>
        <w:t>Hayan sido criados en la Unión durante un periodo mínimo correspondiente a los dos últimos meses.</w:t>
      </w:r>
    </w:p>
    <w:p w:rsidR="00270FCA" w:rsidRPr="00B228B7" w:rsidRDefault="00270FCA" w:rsidP="00C451EB">
      <w:pPr>
        <w:pStyle w:val="Prrafodelista"/>
        <w:numPr>
          <w:ilvl w:val="0"/>
          <w:numId w:val="30"/>
        </w:numPr>
        <w:shd w:val="clear" w:color="auto" w:fill="auto"/>
        <w:suppressAutoHyphens w:val="0"/>
        <w:spacing w:after="0"/>
        <w:contextualSpacing w:val="0"/>
        <w:rPr>
          <w:rFonts w:ascii="Arial" w:eastAsia="Calibri" w:hAnsi="Arial"/>
          <w:color w:val="auto"/>
          <w:sz w:val="24"/>
          <w:szCs w:val="22"/>
          <w:lang w:eastAsia="es-ES"/>
        </w:rPr>
      </w:pPr>
      <w:r w:rsidRPr="00B228B7">
        <w:rPr>
          <w:rFonts w:ascii="Arial" w:eastAsia="Calibri" w:hAnsi="Arial"/>
          <w:color w:val="auto"/>
          <w:sz w:val="24"/>
          <w:szCs w:val="22"/>
          <w:lang w:eastAsia="es-ES"/>
        </w:rPr>
        <w:t>Hayan sido sacrificados como máximo diez días antes de su almacenamiento.</w:t>
      </w:r>
    </w:p>
    <w:p w:rsidR="00270FCA" w:rsidRPr="00B228B7" w:rsidRDefault="00270FCA" w:rsidP="00C451EB">
      <w:pPr>
        <w:pStyle w:val="Prrafodelista"/>
        <w:numPr>
          <w:ilvl w:val="0"/>
          <w:numId w:val="30"/>
        </w:numPr>
        <w:shd w:val="clear" w:color="auto" w:fill="auto"/>
        <w:suppressAutoHyphens w:val="0"/>
        <w:spacing w:after="0"/>
        <w:contextualSpacing w:val="0"/>
        <w:rPr>
          <w:rFonts w:ascii="Arial" w:eastAsia="Calibri" w:hAnsi="Arial"/>
          <w:color w:val="auto"/>
          <w:sz w:val="24"/>
          <w:szCs w:val="22"/>
          <w:lang w:eastAsia="es-ES"/>
        </w:rPr>
      </w:pPr>
      <w:r w:rsidRPr="00B228B7">
        <w:rPr>
          <w:rFonts w:ascii="Arial" w:eastAsia="Calibri" w:hAnsi="Arial"/>
          <w:color w:val="auto"/>
          <w:sz w:val="24"/>
          <w:szCs w:val="22"/>
          <w:lang w:eastAsia="es-ES"/>
        </w:rPr>
        <w:t>Hayan sido sacrificados de conformidad con el Reglamento (CE) nº 853/2004 del Parlamento Europeo y del Congreso de 29 de abril de 2004 No hayan sido sacrificados como resultado de medidas de urgencia.</w:t>
      </w:r>
    </w:p>
    <w:p w:rsidR="00270FCA" w:rsidRPr="00B228B7" w:rsidRDefault="00270FCA" w:rsidP="00C451EB">
      <w:pPr>
        <w:pStyle w:val="Prrafodelista"/>
        <w:numPr>
          <w:ilvl w:val="0"/>
          <w:numId w:val="30"/>
        </w:numPr>
        <w:shd w:val="clear" w:color="auto" w:fill="auto"/>
        <w:suppressAutoHyphens w:val="0"/>
        <w:spacing w:after="0"/>
        <w:contextualSpacing w:val="0"/>
        <w:rPr>
          <w:rFonts w:ascii="Arial" w:eastAsia="Calibri" w:hAnsi="Arial"/>
          <w:color w:val="auto"/>
          <w:sz w:val="24"/>
          <w:szCs w:val="22"/>
          <w:lang w:eastAsia="es-ES"/>
        </w:rPr>
      </w:pPr>
      <w:r w:rsidRPr="00B228B7">
        <w:rPr>
          <w:rFonts w:ascii="Arial" w:eastAsia="Calibri" w:hAnsi="Arial"/>
          <w:color w:val="auto"/>
          <w:sz w:val="24"/>
          <w:szCs w:val="22"/>
          <w:lang w:eastAsia="es-ES"/>
        </w:rPr>
        <w:t>Sean animales que no tengan características que las hagan impropias para el almacenamiento o la utilización posterior.</w:t>
      </w:r>
    </w:p>
    <w:p w:rsidR="00270FCA" w:rsidRPr="00B228B7" w:rsidRDefault="00270FCA" w:rsidP="00C451EB">
      <w:pPr>
        <w:pStyle w:val="Prrafodelista"/>
        <w:numPr>
          <w:ilvl w:val="0"/>
          <w:numId w:val="30"/>
        </w:numPr>
        <w:shd w:val="clear" w:color="auto" w:fill="auto"/>
        <w:suppressAutoHyphens w:val="0"/>
        <w:spacing w:after="0"/>
        <w:ind w:left="714" w:hanging="357"/>
        <w:contextualSpacing w:val="0"/>
        <w:rPr>
          <w:rFonts w:ascii="Arial" w:eastAsia="Calibri" w:hAnsi="Arial"/>
          <w:color w:val="auto"/>
          <w:sz w:val="24"/>
          <w:szCs w:val="22"/>
          <w:lang w:eastAsia="es-ES"/>
        </w:rPr>
      </w:pPr>
      <w:r w:rsidRPr="00B228B7">
        <w:rPr>
          <w:rFonts w:ascii="Arial" w:eastAsia="Calibri" w:hAnsi="Arial"/>
          <w:color w:val="auto"/>
          <w:sz w:val="24"/>
          <w:szCs w:val="22"/>
          <w:lang w:eastAsia="es-ES"/>
        </w:rPr>
        <w:t>Almacenarse congelados.</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s-ES"/>
        </w:rPr>
      </w:pPr>
      <w:r w:rsidRPr="00B228B7">
        <w:rPr>
          <w:rFonts w:ascii="Arial" w:eastAsia="Calibri" w:hAnsi="Arial"/>
          <w:color w:val="auto"/>
          <w:sz w:val="24"/>
          <w:szCs w:val="22"/>
          <w:lang w:eastAsia="es-ES"/>
        </w:rPr>
        <w:t>En el Anexo de las presentes Instrucciones se recogen los productos admisibles, la descripción de los mismos y el código de la nomenclatura aduanera (código NC) de los productos, así como los importes de ayuda que se han fijado por anticipado para cada uno de los periodos de almacenamiento.</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lastRenderedPageBreak/>
        <w:t xml:space="preserve">La cantidad mínima admisible por la que se puede presentar una solicitud de ayuda al almacenamiento privado es de </w:t>
      </w:r>
      <w:r w:rsidR="00270FCA" w:rsidRPr="00B228B7">
        <w:rPr>
          <w:rFonts w:ascii="Arial" w:eastAsia="Calibri" w:hAnsi="Arial"/>
          <w:color w:val="auto"/>
          <w:sz w:val="24"/>
          <w:szCs w:val="22"/>
          <w:lang w:eastAsia="en-US"/>
        </w:rPr>
        <w:t>10</w:t>
      </w:r>
      <w:r w:rsidRPr="00B228B7">
        <w:rPr>
          <w:rFonts w:ascii="Arial" w:eastAsia="Calibri" w:hAnsi="Arial"/>
          <w:color w:val="auto"/>
          <w:sz w:val="24"/>
          <w:szCs w:val="22"/>
          <w:lang w:eastAsia="en-US"/>
        </w:rPr>
        <w:t xml:space="preserve"> toneladas para los productos deshuesados y de 15 toneladas para los demás productos. </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La ayuda sólo se concederá para las cantidades de carne fresca o refrigerada que aún no hayan sido almacenadas y que vayan a almacenarse congeladas.</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Podrán optar a la ayuda al almacenamiento de carne de porcino, todos aquellos agentes económicos que presenten solicitudes ante este </w:t>
      </w:r>
      <w:r w:rsidR="00187D1E" w:rsidRPr="00B228B7">
        <w:rPr>
          <w:rFonts w:ascii="Arial" w:eastAsia="Calibri" w:hAnsi="Arial"/>
          <w:color w:val="auto"/>
          <w:sz w:val="24"/>
          <w:szCs w:val="22"/>
          <w:lang w:eastAsia="en-US"/>
        </w:rPr>
        <w:t>Organismo</w:t>
      </w:r>
      <w:r w:rsidRPr="00B228B7">
        <w:rPr>
          <w:rFonts w:ascii="Arial" w:eastAsia="Calibri" w:hAnsi="Arial"/>
          <w:color w:val="auto"/>
          <w:sz w:val="24"/>
          <w:szCs w:val="22"/>
          <w:lang w:eastAsia="en-US"/>
        </w:rPr>
        <w:t xml:space="preserve"> Pagador en el plazo establecido. Dichos agentes económicos, según lo dispuesto en el apartado 1 del artículo 2 del Reglamento Delegado (UE) 2016/1238, deberán estar establecidos y registrados a efectos del IVA en la Unión Europea.</w:t>
      </w:r>
    </w:p>
    <w:p w:rsidR="00624B5C" w:rsidRPr="00B228B7" w:rsidRDefault="00CF7D0D" w:rsidP="00CF7D0D">
      <w:pPr>
        <w:pStyle w:val="Ttulo1"/>
        <w:ind w:left="426" w:hanging="426"/>
        <w:jc w:val="left"/>
        <w:rPr>
          <w:color w:val="auto"/>
        </w:rPr>
      </w:pPr>
      <w:bookmarkStart w:id="3" w:name="_Toc98418601"/>
      <w:r w:rsidRPr="00B228B7">
        <w:rPr>
          <w:color w:val="auto"/>
        </w:rPr>
        <w:t>SOLICITUDES DE AYUDA</w:t>
      </w:r>
      <w:bookmarkEnd w:id="3"/>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Los agentes económicos que quieran participar en el régimen de ayuda para el almacenamiento privado, deberán presentar una solicitud de ayuda a partir del </w:t>
      </w:r>
      <w:r w:rsidRPr="00B228B7">
        <w:rPr>
          <w:rFonts w:ascii="Arial" w:eastAsia="Calibri" w:hAnsi="Arial"/>
          <w:color w:val="auto"/>
          <w:sz w:val="24"/>
          <w:szCs w:val="22"/>
          <w:highlight w:val="yellow"/>
          <w:lang w:eastAsia="en-US"/>
        </w:rPr>
        <w:t>25 de marzo de 2022</w:t>
      </w:r>
      <w:r w:rsidRPr="00B228B7">
        <w:rPr>
          <w:rFonts w:ascii="Arial" w:eastAsia="Calibri" w:hAnsi="Arial"/>
          <w:color w:val="auto"/>
          <w:sz w:val="24"/>
          <w:szCs w:val="22"/>
          <w:lang w:eastAsia="en-US"/>
        </w:rPr>
        <w:t xml:space="preserve"> y hasta el 29 de abril de 2022. </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Cada solicitud se referirá a una única categoría de producto del Anexo I de la presente Circular y para un único periodo de almacenamiento. Los agentes económicos interesados en participar en el régimen de ayuda podrán presentar cuantas solicitudes de ayuda consideren oportunas. </w:t>
      </w:r>
    </w:p>
    <w:p w:rsidR="0046290D"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El formulario de la solicitud de ayuda se recoge en el Anexo I de este procedimiento y se deberá de acompañar de una garantía, por cada solicitud de ayuda que se presente, por un valor igual al 20% del importe de ayuda que se solicite (número de toneladas x importe unitario según periodo y categoría x 20%), de conformidad con lo establecido en el artículo 4, apartado (b) del Reglamento Delegado (UE) 2016/1238. </w:t>
      </w:r>
      <w:r w:rsidR="00BE03A3" w:rsidRPr="00B228B7">
        <w:rPr>
          <w:rFonts w:ascii="Arial" w:eastAsia="Calibri" w:hAnsi="Arial"/>
          <w:color w:val="auto"/>
          <w:sz w:val="24"/>
          <w:szCs w:val="22"/>
          <w:lang w:eastAsia="en-US"/>
        </w:rPr>
        <w:t xml:space="preserve">Esta garantía se puede hacer mediante aval o seguro de caución, o transferencia bancaria. </w:t>
      </w:r>
      <w:r w:rsidRPr="00B228B7">
        <w:rPr>
          <w:rFonts w:ascii="Arial" w:eastAsia="Calibri" w:hAnsi="Arial"/>
          <w:color w:val="auto"/>
          <w:sz w:val="24"/>
          <w:szCs w:val="22"/>
          <w:lang w:eastAsia="en-US"/>
        </w:rPr>
        <w:t xml:space="preserve">El documento para la constitución de la </w:t>
      </w:r>
      <w:r w:rsidR="00187D1E" w:rsidRPr="00B228B7">
        <w:rPr>
          <w:rFonts w:ascii="Arial" w:eastAsia="Calibri" w:hAnsi="Arial"/>
          <w:color w:val="auto"/>
          <w:sz w:val="24"/>
          <w:szCs w:val="22"/>
          <w:lang w:eastAsia="en-US"/>
        </w:rPr>
        <w:t>garantía</w:t>
      </w:r>
      <w:r w:rsidRPr="00B228B7">
        <w:rPr>
          <w:rFonts w:ascii="Arial" w:eastAsia="Calibri" w:hAnsi="Arial"/>
          <w:color w:val="auto"/>
          <w:sz w:val="24"/>
          <w:szCs w:val="22"/>
          <w:lang w:eastAsia="en-US"/>
        </w:rPr>
        <w:t xml:space="preserve"> se recoge en el anexo II</w:t>
      </w:r>
      <w:r w:rsidR="00270FCA" w:rsidRPr="00B228B7">
        <w:rPr>
          <w:rFonts w:ascii="Arial" w:eastAsia="Calibri" w:hAnsi="Arial"/>
          <w:color w:val="auto"/>
          <w:sz w:val="24"/>
          <w:szCs w:val="22"/>
          <w:lang w:eastAsia="en-US"/>
        </w:rPr>
        <w:t xml:space="preserve">. </w:t>
      </w:r>
    </w:p>
    <w:p w:rsidR="00BE03A3" w:rsidRPr="00B228B7" w:rsidRDefault="0046290D"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Este documento </w:t>
      </w:r>
      <w:r w:rsidR="00BE03A3" w:rsidRPr="00B228B7">
        <w:rPr>
          <w:rFonts w:ascii="Arial" w:eastAsia="Calibri" w:hAnsi="Arial"/>
          <w:color w:val="auto"/>
          <w:sz w:val="24"/>
          <w:szCs w:val="22"/>
          <w:lang w:eastAsia="en-US"/>
        </w:rPr>
        <w:t xml:space="preserve">suscrito </w:t>
      </w:r>
      <w:r w:rsidRPr="00B228B7">
        <w:rPr>
          <w:rFonts w:ascii="Arial" w:eastAsia="Calibri" w:hAnsi="Arial"/>
          <w:color w:val="auto"/>
          <w:sz w:val="24"/>
          <w:szCs w:val="22"/>
          <w:lang w:eastAsia="en-US"/>
        </w:rPr>
        <w:t xml:space="preserve">(aval o seguro de caución) se deberá depositar </w:t>
      </w:r>
      <w:r w:rsidR="00BE03A3" w:rsidRPr="00B228B7">
        <w:rPr>
          <w:rFonts w:ascii="Arial" w:eastAsia="Calibri" w:hAnsi="Arial"/>
          <w:color w:val="auto"/>
          <w:sz w:val="24"/>
          <w:szCs w:val="22"/>
          <w:lang w:eastAsia="en-US"/>
        </w:rPr>
        <w:t xml:space="preserve">presencialmente </w:t>
      </w:r>
      <w:r w:rsidRPr="00B228B7">
        <w:rPr>
          <w:rFonts w:ascii="Arial" w:eastAsia="Calibri" w:hAnsi="Arial"/>
          <w:color w:val="auto"/>
          <w:sz w:val="24"/>
          <w:szCs w:val="22"/>
          <w:lang w:eastAsia="en-US"/>
        </w:rPr>
        <w:t>en Caja de Depósitos</w:t>
      </w:r>
      <w:r w:rsidR="00BE03A3" w:rsidRPr="00B228B7">
        <w:rPr>
          <w:rFonts w:ascii="Arial" w:eastAsia="Calibri" w:hAnsi="Arial"/>
          <w:color w:val="auto"/>
          <w:sz w:val="24"/>
          <w:szCs w:val="22"/>
          <w:lang w:eastAsia="en-US"/>
        </w:rPr>
        <w:t>, sito:</w:t>
      </w:r>
    </w:p>
    <w:p w:rsidR="00BE03A3" w:rsidRPr="00B228B7" w:rsidRDefault="00BE03A3"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en Zaragoza: Departamento Hacienda y Administración Pública, Dirección General de Presupuestos, Financiación y Tesorería</w:t>
      </w:r>
      <w:r w:rsidR="00C451EB" w:rsidRPr="00B228B7">
        <w:rPr>
          <w:rFonts w:ascii="Arial" w:eastAsia="Calibri" w:hAnsi="Arial"/>
          <w:color w:val="auto"/>
          <w:sz w:val="24"/>
          <w:szCs w:val="22"/>
          <w:lang w:eastAsia="en-US"/>
        </w:rPr>
        <w:t>,</w:t>
      </w:r>
      <w:r w:rsidRPr="00B228B7">
        <w:rPr>
          <w:rFonts w:ascii="Arial" w:eastAsia="Calibri" w:hAnsi="Arial"/>
          <w:color w:val="auto"/>
          <w:sz w:val="24"/>
          <w:szCs w:val="22"/>
          <w:lang w:eastAsia="en-US"/>
        </w:rPr>
        <w:t xml:space="preserve"> (Plaza de los Sitios nº 7, 50001 Zaragoza, Tfn 976714249</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La cantidad mínima admisible para cada solicitud será de </w:t>
      </w:r>
      <w:r w:rsidR="00270FCA" w:rsidRPr="00B228B7">
        <w:rPr>
          <w:rFonts w:ascii="Arial" w:eastAsia="Calibri" w:hAnsi="Arial"/>
          <w:color w:val="auto"/>
          <w:sz w:val="24"/>
          <w:szCs w:val="22"/>
          <w:lang w:eastAsia="en-US"/>
        </w:rPr>
        <w:t>10</w:t>
      </w:r>
      <w:r w:rsidRPr="00B228B7">
        <w:rPr>
          <w:rFonts w:ascii="Arial" w:eastAsia="Calibri" w:hAnsi="Arial"/>
          <w:color w:val="auto"/>
          <w:sz w:val="24"/>
          <w:szCs w:val="22"/>
          <w:lang w:eastAsia="en-US"/>
        </w:rPr>
        <w:t xml:space="preserve"> t para los productos deshuesados y de 15 t para el resto de productos de carne de porcino. </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Los periodos de almacenamiento contractual se fijan en 60, 90, 120 o 150 días. Sin </w:t>
      </w:r>
      <w:r w:rsidR="00187D1E" w:rsidRPr="00B228B7">
        <w:rPr>
          <w:rFonts w:ascii="Arial" w:eastAsia="Calibri" w:hAnsi="Arial"/>
          <w:color w:val="auto"/>
          <w:sz w:val="24"/>
          <w:szCs w:val="22"/>
          <w:lang w:eastAsia="en-US"/>
        </w:rPr>
        <w:t>embargo,</w:t>
      </w:r>
      <w:r w:rsidRPr="00B228B7">
        <w:rPr>
          <w:rFonts w:ascii="Arial" w:eastAsia="Calibri" w:hAnsi="Arial"/>
          <w:color w:val="auto"/>
          <w:sz w:val="24"/>
          <w:szCs w:val="22"/>
          <w:lang w:eastAsia="en-US"/>
        </w:rPr>
        <w:t xml:space="preserve"> la Comisión se reserva la posibilidad de aplicar el procedimiento previsto en el 229 del Reglamento (UE) nº 1308/2013, si así lo considera y acortar el plazo de los contratos con el ajuste de la ayuda correspondiente.</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Una vez presentada cada solicitud de ayuda no podrá retirarse, ni modificarse, ni subsanarse. Tampoco será posible la transferencia entre agentes económicos de los derechos y obligaciones derivados de la aceptación de la solicitud.</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Los productos por los que se solicita ayuda deberán ser de calidad sana, cabal, y comercial. </w:t>
      </w:r>
      <w:r w:rsidR="00C159C6" w:rsidRPr="00B228B7">
        <w:rPr>
          <w:rFonts w:ascii="Arial" w:eastAsia="Calibri" w:hAnsi="Arial"/>
          <w:color w:val="auto"/>
          <w:sz w:val="24"/>
          <w:szCs w:val="22"/>
          <w:lang w:eastAsia="en-US"/>
        </w:rPr>
        <w:t>Además,</w:t>
      </w:r>
      <w:r w:rsidRPr="00B228B7">
        <w:rPr>
          <w:rFonts w:ascii="Arial" w:eastAsia="Calibri" w:hAnsi="Arial"/>
          <w:color w:val="auto"/>
          <w:sz w:val="24"/>
          <w:szCs w:val="22"/>
          <w:lang w:eastAsia="en-US"/>
        </w:rPr>
        <w:t xml:space="preserve"> los productos deberán cumplir los requisitos establecidos en el Anexo VI del Reglamento Delegado 2016/1238 donde se establecen los “Requisitos de calidad aplicables </w:t>
      </w:r>
      <w:r w:rsidRPr="00B228B7">
        <w:rPr>
          <w:rFonts w:ascii="Arial" w:eastAsia="Calibri" w:hAnsi="Arial"/>
          <w:color w:val="auto"/>
          <w:sz w:val="24"/>
          <w:szCs w:val="22"/>
          <w:lang w:eastAsia="en-US"/>
        </w:rPr>
        <w:lastRenderedPageBreak/>
        <w:t>a la ayuda para el almacenamiento privado” y en concreto las especificaciones aplicables a la carne de porcino:</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En el caso que una oferta sea considerada inadmisible, se notificará al titular en un plazo de tres días hábiles a partir de la recepción de la solicitud.</w:t>
      </w:r>
    </w:p>
    <w:p w:rsidR="00C451EB" w:rsidRPr="00B228B7" w:rsidRDefault="00C451EB" w:rsidP="00C451EB">
      <w:pPr>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Respecto a las solicitudes admisibles y para confirmar su aceptacion, se han de comunicar a la Comisión dos veces por semana a más tardar a las 09:00 horas (hora de Bruselas), según el siguiente procedimiento:</w:t>
      </w:r>
    </w:p>
    <w:p w:rsidR="00C451EB" w:rsidRPr="00B228B7" w:rsidRDefault="00C451EB" w:rsidP="00C451EB">
      <w:pPr>
        <w:pStyle w:val="Prrafodelista"/>
        <w:numPr>
          <w:ilvl w:val="0"/>
          <w:numId w:val="31"/>
        </w:numPr>
        <w:shd w:val="clear" w:color="auto" w:fill="auto"/>
        <w:suppressAutoHyphens w:val="0"/>
        <w:spacing w:before="120" w:after="120"/>
        <w:ind w:left="714" w:hanging="357"/>
        <w:contextualSpacing w:val="0"/>
        <w:rPr>
          <w:rFonts w:ascii="Arial" w:eastAsia="Calibri" w:hAnsi="Arial"/>
          <w:color w:val="auto"/>
          <w:sz w:val="24"/>
          <w:szCs w:val="22"/>
          <w:lang w:eastAsia="en-US"/>
        </w:rPr>
      </w:pPr>
      <w:r w:rsidRPr="00B228B7">
        <w:rPr>
          <w:rFonts w:ascii="Arial" w:eastAsia="Calibri" w:hAnsi="Arial"/>
          <w:color w:val="auto"/>
          <w:sz w:val="24"/>
          <w:szCs w:val="22"/>
          <w:lang w:eastAsia="en-US"/>
        </w:rPr>
        <w:t>Cada lunes, las cantidades de los productos para los que se hayan presentado solicitudes el jueves y el viernes de la semana anterior.</w:t>
      </w:r>
    </w:p>
    <w:p w:rsidR="00C451EB" w:rsidRPr="00B228B7" w:rsidRDefault="00C451EB" w:rsidP="00C451EB">
      <w:pPr>
        <w:pStyle w:val="Prrafodelista"/>
        <w:numPr>
          <w:ilvl w:val="0"/>
          <w:numId w:val="31"/>
        </w:numPr>
        <w:shd w:val="clear" w:color="auto" w:fill="auto"/>
        <w:suppressAutoHyphens w:val="0"/>
        <w:spacing w:before="120" w:after="120"/>
        <w:ind w:left="714" w:hanging="357"/>
        <w:contextualSpacing w:val="0"/>
        <w:rPr>
          <w:rFonts w:ascii="Arial" w:eastAsia="Calibri" w:hAnsi="Arial"/>
          <w:color w:val="auto"/>
          <w:sz w:val="24"/>
          <w:szCs w:val="22"/>
          <w:lang w:eastAsia="en-US"/>
        </w:rPr>
      </w:pPr>
      <w:r w:rsidRPr="00B228B7">
        <w:rPr>
          <w:rFonts w:ascii="Arial" w:eastAsia="Calibri" w:hAnsi="Arial"/>
          <w:color w:val="auto"/>
          <w:sz w:val="24"/>
          <w:szCs w:val="22"/>
          <w:lang w:eastAsia="en-US"/>
        </w:rPr>
        <w:t>Cada jueves, las cantidades de los productos respecto de los cuales se hayan presentado solicitudes el sábado, domingo, lunes, martes y miércoles de la misma semana.</w:t>
      </w:r>
    </w:p>
    <w:p w:rsidR="00C451EB" w:rsidRPr="00B228B7" w:rsidRDefault="00C451EB" w:rsidP="00C451EB">
      <w:pPr>
        <w:rPr>
          <w:rFonts w:ascii="Arial" w:eastAsia="Calibri" w:hAnsi="Arial"/>
          <w:color w:val="auto"/>
          <w:sz w:val="24"/>
          <w:szCs w:val="22"/>
          <w:lang w:eastAsia="en-US"/>
        </w:rPr>
      </w:pPr>
      <w:r w:rsidRPr="00B228B7">
        <w:rPr>
          <w:rFonts w:ascii="Arial" w:eastAsia="Calibri" w:hAnsi="Arial"/>
          <w:color w:val="auto"/>
          <w:sz w:val="24"/>
          <w:szCs w:val="22"/>
          <w:lang w:eastAsia="en-US"/>
        </w:rPr>
        <w:t>Las solicitudes presentadas un día festivo se considerarán recibidas por el organismo pagador el primer día hábil posterior a su presentación.</w:t>
      </w:r>
    </w:p>
    <w:p w:rsidR="00624B5C" w:rsidRPr="00B228B7" w:rsidRDefault="00624B5C" w:rsidP="00CF7D0D">
      <w:pPr>
        <w:pStyle w:val="Ttulo1"/>
        <w:ind w:left="426" w:hanging="426"/>
        <w:jc w:val="left"/>
        <w:rPr>
          <w:color w:val="auto"/>
        </w:rPr>
      </w:pPr>
      <w:bookmarkStart w:id="4" w:name="_Toc38550250"/>
      <w:bookmarkStart w:id="5" w:name="_Toc39652175"/>
      <w:bookmarkStart w:id="6" w:name="_Toc98418606"/>
      <w:r w:rsidRPr="00B228B7">
        <w:rPr>
          <w:color w:val="auto"/>
        </w:rPr>
        <w:t>N</w:t>
      </w:r>
      <w:r w:rsidR="00CF7D0D" w:rsidRPr="00B228B7">
        <w:rPr>
          <w:color w:val="auto"/>
        </w:rPr>
        <w:t>OTIFICACIÓN AL BENEFICIARIO DE ACEPTACIÓN DE LAS SOLICITUDES DE AYUDA PRESENTADAS</w:t>
      </w:r>
      <w:bookmarkEnd w:id="4"/>
      <w:bookmarkEnd w:id="5"/>
      <w:bookmarkEnd w:id="6"/>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Esta notificación será efectuada al agente económico el octavo día hábil siguiente a la fecha de recepción de la misma.</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No obstante, durante ese periodo de 8 días hábiles, la Comisión puede decidir:</w:t>
      </w:r>
    </w:p>
    <w:p w:rsidR="00624B5C" w:rsidRPr="00B228B7" w:rsidRDefault="00624B5C" w:rsidP="00624B5C">
      <w:pPr>
        <w:numPr>
          <w:ilvl w:val="0"/>
          <w:numId w:val="5"/>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suspender la aplicación del régimen durante un máximo de cinco días hábiles y no admitir las solicitudes presentadas durante dicho período;</w:t>
      </w:r>
    </w:p>
    <w:p w:rsidR="00624B5C" w:rsidRPr="00B228B7" w:rsidRDefault="00624B5C" w:rsidP="00624B5C">
      <w:pPr>
        <w:numPr>
          <w:ilvl w:val="0"/>
          <w:numId w:val="5"/>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fijar un porcentaje único de reducción de las cantidades a que se refieran las solicitudes, sujeto a la observancia de la cantidad contractual mínima, según proceda;</w:t>
      </w:r>
    </w:p>
    <w:p w:rsidR="00624B5C" w:rsidRPr="00B228B7" w:rsidRDefault="00624B5C" w:rsidP="00624B5C">
      <w:pPr>
        <w:numPr>
          <w:ilvl w:val="0"/>
          <w:numId w:val="5"/>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desestimar las solicitudes presentadas antes del período de suspensión, cuya decisión de aceptación hubiera debido tomarse durante el período de suspensión.</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Con carácter general una vez presentadas, las solicitudes no podrán modificarse ni retirarse. No </w:t>
      </w:r>
      <w:r w:rsidR="00187D1E" w:rsidRPr="00B228B7">
        <w:rPr>
          <w:rFonts w:ascii="Arial" w:eastAsia="Calibri" w:hAnsi="Arial"/>
          <w:color w:val="auto"/>
          <w:sz w:val="24"/>
          <w:szCs w:val="22"/>
          <w:lang w:eastAsia="en-US"/>
        </w:rPr>
        <w:t>obstante,</w:t>
      </w:r>
      <w:r w:rsidRPr="00B228B7">
        <w:rPr>
          <w:rFonts w:ascii="Arial" w:eastAsia="Calibri" w:hAnsi="Arial"/>
          <w:color w:val="auto"/>
          <w:sz w:val="24"/>
          <w:szCs w:val="22"/>
          <w:lang w:eastAsia="en-US"/>
        </w:rPr>
        <w:t xml:space="preserve"> los agentes económicos a los que se aplique un porcentaje único de reducción de las cantidades, podrán retirar sus solicitudes en un plazo de diez días hábiles a partir de la fecha de entrada en vigor de la decisión por la que se fije el porcentaje de reducción.</w:t>
      </w:r>
    </w:p>
    <w:p w:rsidR="00624B5C" w:rsidRPr="00B228B7" w:rsidRDefault="00624B5C" w:rsidP="00FD2FFC">
      <w:pPr>
        <w:pStyle w:val="Ttulo1"/>
        <w:ind w:left="426" w:hanging="426"/>
        <w:jc w:val="left"/>
        <w:rPr>
          <w:color w:val="auto"/>
        </w:rPr>
      </w:pPr>
      <w:bookmarkStart w:id="7" w:name="_Toc39652176"/>
      <w:bookmarkStart w:id="8" w:name="_Toc98418607"/>
      <w:r w:rsidRPr="00B228B7">
        <w:rPr>
          <w:color w:val="auto"/>
        </w:rPr>
        <w:t>I</w:t>
      </w:r>
      <w:r w:rsidR="00FD2FFC" w:rsidRPr="00B228B7">
        <w:rPr>
          <w:color w:val="auto"/>
        </w:rPr>
        <w:t>NICIO DEL ALMACENAMIENTO</w:t>
      </w:r>
      <w:bookmarkEnd w:id="7"/>
      <w:bookmarkEnd w:id="8"/>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La ayuda sólo se concederá para las cantidades de carne fresca o refrigerada de porcino que aún no hayan sido almacenadas de modo que el agente económico deberá notificar a este Organismo Pagador el calendario para la entrada de los productos en almacenamiento, el nombre y la dirección del lugar de almacenamiento y ubicación de los lotes con las cantidades correspondientes. La notificación a este Organismo Pagador se realizará al menos cinco días hábiles antes del inicio de la entrada de los lotes en almacén.</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Los productos se almacenarán en los 28 días naturales siguientes a la notificación de la adjudicación de la solicitud al agente económico mencionada en el punto anterior, en los almacenes frigoríficos identificados en la notificación de información relativa al lugar de almacenamiento.</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lastRenderedPageBreak/>
        <w:t>La entrada en almacén comenzará, para cada lote individual que forme parte de una solicitud, el día en que se comprueba el peso neto de la carne fresca, bien en el lugar de almacenamiento de esta carne fresa si la carne se congela allí, o bien en el lugar de congelación si después va a llevarse al almacén frigorífico, siempre bajo el control de la autoridad competente que asuma el control de dicho lote.</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La entrada en almacén se considerará finalizada el día en el que el último lote individual de la cantidad cubierta por la solicitud entre en el almacén, y el inicio del periodo de almacenamiento contractual comenzará el día siguiente a esta fecha de finalización.</w:t>
      </w:r>
    </w:p>
    <w:p w:rsidR="00624B5C" w:rsidRPr="00B228B7" w:rsidRDefault="00624B5C" w:rsidP="006320FA">
      <w:pPr>
        <w:keepNext/>
        <w:keepLines/>
        <w:shd w:val="clear" w:color="auto" w:fill="auto"/>
        <w:suppressAutoHyphens w:val="0"/>
        <w:spacing w:before="240" w:after="240"/>
        <w:ind w:left="720" w:firstLine="0"/>
        <w:outlineLvl w:val="2"/>
        <w:rPr>
          <w:rFonts w:ascii="Arial" w:hAnsi="Arial"/>
          <w:b/>
          <w:color w:val="auto"/>
          <w:sz w:val="24"/>
          <w:szCs w:val="24"/>
          <w:lang w:eastAsia="en-US"/>
        </w:rPr>
      </w:pPr>
      <w:bookmarkStart w:id="9" w:name="_Toc98418609"/>
      <w:r w:rsidRPr="00B228B7">
        <w:rPr>
          <w:rFonts w:ascii="Arial" w:hAnsi="Arial"/>
          <w:b/>
          <w:color w:val="auto"/>
          <w:sz w:val="24"/>
          <w:szCs w:val="24"/>
          <w:lang w:eastAsia="en-US"/>
        </w:rPr>
        <w:t>Controles al inicio del almacenamiento</w:t>
      </w:r>
      <w:bookmarkEnd w:id="9"/>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Los controles tendrán lugar en el momento de la entrada en almacenamiento privado verificando la cantidad contractual del producto almacenado, este control del peso neto de la carne fresca debe ser realizado en el momento previo a la congelación del producto. Se comprobará que el peso de la carne fresca que va a almacenarse no podrá superar las toneladas solicitadas, ni ser inferior al 95% de las mismas.</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Dichos controles al menos incluirán:</w:t>
      </w:r>
    </w:p>
    <w:p w:rsidR="00624B5C" w:rsidRPr="00B228B7" w:rsidRDefault="00624B5C" w:rsidP="00624B5C">
      <w:pPr>
        <w:numPr>
          <w:ilvl w:val="0"/>
          <w:numId w:val="6"/>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Examen del registro del almacén y de los justificantes</w:t>
      </w:r>
    </w:p>
    <w:p w:rsidR="00624B5C" w:rsidRPr="00B228B7" w:rsidRDefault="00624B5C" w:rsidP="00624B5C">
      <w:pPr>
        <w:numPr>
          <w:ilvl w:val="0"/>
          <w:numId w:val="6"/>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Certificados de pesaje</w:t>
      </w:r>
    </w:p>
    <w:p w:rsidR="00624B5C" w:rsidRPr="00B228B7" w:rsidRDefault="00624B5C" w:rsidP="00624B5C">
      <w:pPr>
        <w:numPr>
          <w:ilvl w:val="0"/>
          <w:numId w:val="6"/>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Resguardos de entregas</w:t>
      </w:r>
    </w:p>
    <w:p w:rsidR="00624B5C" w:rsidRPr="00B228B7" w:rsidRDefault="00624B5C" w:rsidP="00624B5C">
      <w:pPr>
        <w:numPr>
          <w:ilvl w:val="0"/>
          <w:numId w:val="6"/>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Carne de animales criados en la Unión durante un período mínimo correspondiente a los últimos dos meses,</w:t>
      </w:r>
    </w:p>
    <w:p w:rsidR="00624B5C" w:rsidRPr="00B228B7" w:rsidRDefault="00624B5C" w:rsidP="00624B5C">
      <w:pPr>
        <w:numPr>
          <w:ilvl w:val="0"/>
          <w:numId w:val="6"/>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Carne de animales no sacrificados como resultado de medidas de urgencia.</w:t>
      </w:r>
    </w:p>
    <w:p w:rsidR="00624B5C" w:rsidRPr="00B228B7" w:rsidRDefault="00624B5C" w:rsidP="00624B5C">
      <w:pPr>
        <w:numPr>
          <w:ilvl w:val="0"/>
          <w:numId w:val="6"/>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Carne en estado fresco y almacenada congelada.</w:t>
      </w:r>
    </w:p>
    <w:p w:rsidR="00624B5C" w:rsidRPr="00B228B7" w:rsidRDefault="00624B5C" w:rsidP="00624B5C">
      <w:pPr>
        <w:numPr>
          <w:ilvl w:val="0"/>
          <w:numId w:val="6"/>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Carne de animales que hayan sido sacrificados de conformidad con el Reglamento (CE) nº 853/2004 y Carne de animales que no tengan características que las hagan impropias para el almacenamiento o la utilización posterior y cuente con la marca sanitaria prevista en el anexo II, sección I, del Reglamento (CE) nº 853/2004 del Parlamento Europeo y del Consejo. (Consolidado a fecha 28 de octubre de 2021).</w:t>
      </w:r>
    </w:p>
    <w:p w:rsidR="00624B5C" w:rsidRPr="00B228B7" w:rsidRDefault="00624B5C" w:rsidP="00624B5C">
      <w:pPr>
        <w:numPr>
          <w:ilvl w:val="0"/>
          <w:numId w:val="6"/>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Verificación física de los productos en el lugar de almacenamiento:</w:t>
      </w:r>
    </w:p>
    <w:p w:rsidR="008820A1" w:rsidRPr="00B228B7" w:rsidRDefault="008820A1" w:rsidP="00624B5C">
      <w:pPr>
        <w:shd w:val="clear" w:color="auto" w:fill="auto"/>
        <w:suppressAutoHyphens w:val="0"/>
        <w:spacing w:before="120" w:after="120"/>
        <w:ind w:firstLine="0"/>
        <w:rPr>
          <w:rFonts w:ascii="Arial" w:eastAsia="Calibri" w:hAnsi="Arial"/>
          <w:color w:val="auto"/>
          <w:sz w:val="24"/>
          <w:szCs w:val="22"/>
          <w:lang w:eastAsia="en-US"/>
        </w:rPr>
      </w:pPr>
    </w:p>
    <w:p w:rsidR="00624B5C" w:rsidRPr="00B228B7" w:rsidRDefault="00624B5C" w:rsidP="008820A1">
      <w:pPr>
        <w:pStyle w:val="Ttulo1"/>
        <w:ind w:left="426" w:hanging="426"/>
        <w:jc w:val="left"/>
        <w:rPr>
          <w:color w:val="auto"/>
        </w:rPr>
      </w:pPr>
      <w:bookmarkStart w:id="10" w:name="_Toc39652179"/>
      <w:bookmarkStart w:id="11" w:name="_Toc98418610"/>
      <w:r w:rsidRPr="00B228B7">
        <w:rPr>
          <w:color w:val="auto"/>
        </w:rPr>
        <w:t>C</w:t>
      </w:r>
      <w:r w:rsidR="008820A1" w:rsidRPr="00B228B7">
        <w:rPr>
          <w:color w:val="auto"/>
        </w:rPr>
        <w:t>ONTRATOS DE ALMACENAMIENTO</w:t>
      </w:r>
      <w:bookmarkEnd w:id="10"/>
      <w:bookmarkEnd w:id="11"/>
    </w:p>
    <w:p w:rsidR="00624B5C" w:rsidRPr="00B228B7" w:rsidRDefault="00624B5C" w:rsidP="00C451EB">
      <w:pPr>
        <w:keepNext/>
        <w:keepLines/>
        <w:shd w:val="clear" w:color="auto" w:fill="auto"/>
        <w:suppressAutoHyphens w:val="0"/>
        <w:spacing w:before="240" w:after="240"/>
        <w:ind w:firstLine="0"/>
        <w:outlineLvl w:val="2"/>
        <w:rPr>
          <w:rFonts w:ascii="Arial" w:hAnsi="Arial"/>
          <w:b/>
          <w:color w:val="auto"/>
          <w:sz w:val="24"/>
          <w:szCs w:val="24"/>
          <w:lang w:eastAsia="en-US"/>
        </w:rPr>
      </w:pPr>
      <w:bookmarkStart w:id="12" w:name="_Toc39652180"/>
      <w:bookmarkStart w:id="13" w:name="_Toc98418611"/>
      <w:r w:rsidRPr="00B228B7">
        <w:rPr>
          <w:rFonts w:ascii="Arial" w:hAnsi="Arial"/>
          <w:b/>
          <w:color w:val="auto"/>
          <w:sz w:val="24"/>
          <w:szCs w:val="24"/>
          <w:lang w:eastAsia="en-US"/>
        </w:rPr>
        <w:t>Notificación de la celebración del contrato</w:t>
      </w:r>
      <w:bookmarkEnd w:id="12"/>
      <w:bookmarkEnd w:id="13"/>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Este Organismo Pagador notificará al agente económico, en el plazo de cinco días hábiles a partir de la fecha de expedición del informe de control, que el contrato se considera celebrado, a reserva de la recepción de los documentos necesarios para su formalización.</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Por consiguiente, la fecha de celebración del contrato será la fecha de la notificación al agente económico.</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El contrato deberá incluir las obligaciones del contratante así como las disposiciones pertinentes del Reglamento de Ejecución (UE) </w:t>
      </w:r>
      <w:r w:rsidR="00C451EB" w:rsidRPr="00B228B7">
        <w:rPr>
          <w:rFonts w:ascii="Arial" w:eastAsia="Calibri" w:hAnsi="Arial"/>
          <w:color w:val="auto"/>
          <w:sz w:val="24"/>
          <w:szCs w:val="22"/>
          <w:lang w:eastAsia="en-US"/>
        </w:rPr>
        <w:t>2022/470</w:t>
      </w:r>
      <w:r w:rsidRPr="00B228B7">
        <w:rPr>
          <w:rFonts w:ascii="Arial" w:eastAsia="Calibri" w:hAnsi="Arial"/>
          <w:color w:val="auto"/>
          <w:sz w:val="24"/>
          <w:szCs w:val="22"/>
          <w:lang w:eastAsia="en-US"/>
        </w:rPr>
        <w:t>.</w:t>
      </w:r>
    </w:p>
    <w:p w:rsidR="00624B5C" w:rsidRPr="00B228B7" w:rsidRDefault="00624B5C" w:rsidP="00C451EB">
      <w:pPr>
        <w:keepNext/>
        <w:keepLines/>
        <w:shd w:val="clear" w:color="auto" w:fill="auto"/>
        <w:suppressAutoHyphens w:val="0"/>
        <w:spacing w:before="240" w:after="240"/>
        <w:ind w:firstLine="0"/>
        <w:outlineLvl w:val="2"/>
        <w:rPr>
          <w:rFonts w:ascii="Arial" w:hAnsi="Arial"/>
          <w:b/>
          <w:color w:val="auto"/>
          <w:sz w:val="24"/>
          <w:szCs w:val="24"/>
          <w:lang w:eastAsia="en-US"/>
        </w:rPr>
      </w:pPr>
      <w:bookmarkStart w:id="14" w:name="_Toc39652182"/>
      <w:bookmarkStart w:id="15" w:name="_Toc98418613"/>
      <w:r w:rsidRPr="00B228B7">
        <w:rPr>
          <w:rFonts w:ascii="Arial" w:hAnsi="Arial"/>
          <w:b/>
          <w:color w:val="auto"/>
          <w:sz w:val="24"/>
          <w:szCs w:val="24"/>
          <w:lang w:eastAsia="en-US"/>
        </w:rPr>
        <w:lastRenderedPageBreak/>
        <w:t>Obligaciones del contratante</w:t>
      </w:r>
      <w:bookmarkEnd w:id="14"/>
      <w:bookmarkEnd w:id="15"/>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El agente económico, en adelante el contratante, suscribirá las siguientes obligaciones incluidas en el contrato:</w:t>
      </w:r>
    </w:p>
    <w:p w:rsidR="00624B5C" w:rsidRPr="00B228B7" w:rsidRDefault="00624B5C" w:rsidP="00624B5C">
      <w:pPr>
        <w:numPr>
          <w:ilvl w:val="0"/>
          <w:numId w:val="10"/>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Colocar y mantener almacenada durante el período contractual la cantidad convenida, por su cuenta y riesgo, en las condiciones que garanticen el mantenimiento de las características del producto almacenado, sin modificar, sustituir ni trasladar a otro lugar de almacenamiento. Solo podrá reubicarse en circunstancias excepcionales y siempre previa autorización de la autoridad competente de la comunidad autónoma tras una solicitud motivada del agente económico. </w:t>
      </w:r>
    </w:p>
    <w:p w:rsidR="00624B5C" w:rsidRPr="00B228B7" w:rsidRDefault="00624B5C" w:rsidP="00624B5C">
      <w:pPr>
        <w:numPr>
          <w:ilvl w:val="0"/>
          <w:numId w:val="10"/>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Conservar los documentos relativos al pesaje expedidos la fecha de entrada en el lugar de almacenamiento privado. </w:t>
      </w:r>
    </w:p>
    <w:p w:rsidR="00624B5C" w:rsidRPr="00B228B7" w:rsidRDefault="00624B5C" w:rsidP="00624B5C">
      <w:pPr>
        <w:numPr>
          <w:ilvl w:val="0"/>
          <w:numId w:val="10"/>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Enviar al Organismo Pagador a más tardar cinco días hábiles después de la entrada en almacén contemplada en el artículo 47, apartado 3 del Reglamento de Ejecución (UE) 2016/1240, los documentos relativos a las operaciones de entrada en almacén, incluida la ubicación de los lotes de almacenamiento con las cantidades correspondientes.</w:t>
      </w:r>
    </w:p>
    <w:p w:rsidR="00624B5C" w:rsidRPr="00B228B7" w:rsidRDefault="00624B5C" w:rsidP="00624B5C">
      <w:pPr>
        <w:numPr>
          <w:ilvl w:val="0"/>
          <w:numId w:val="10"/>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Permitir al personal de la unidad gestora realizar todos los controles que se estimen necesarios para asegurar el cumplimiento de las obligaciones derivadas del contrato, corriendo a cargo del contratante los gastos de manipulación ocasionados por dichas operaciones de control.</w:t>
      </w:r>
    </w:p>
    <w:p w:rsidR="00624B5C" w:rsidRPr="00B228B7" w:rsidRDefault="00624B5C" w:rsidP="00624B5C">
      <w:pPr>
        <w:numPr>
          <w:ilvl w:val="0"/>
          <w:numId w:val="10"/>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Permitir que los productos almacenados sean fácilmente accesibles e individualmente identificables por lugar de almacenamiento. </w:t>
      </w:r>
    </w:p>
    <w:p w:rsidR="00624B5C" w:rsidRPr="00B228B7" w:rsidRDefault="00624B5C" w:rsidP="00624B5C">
      <w:pPr>
        <w:numPr>
          <w:ilvl w:val="0"/>
          <w:numId w:val="10"/>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Conservar y poner a disposición de la unidad de control, previa petición, toda la documentación relativa a cada contrato, que permita en particular verificar la siguiente información:</w:t>
      </w:r>
    </w:p>
    <w:p w:rsidR="00624B5C" w:rsidRPr="00B228B7" w:rsidRDefault="00624B5C" w:rsidP="00624B5C">
      <w:pPr>
        <w:numPr>
          <w:ilvl w:val="0"/>
          <w:numId w:val="10"/>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Número de identificación de la empresa autorizada</w:t>
      </w:r>
    </w:p>
    <w:p w:rsidR="00624B5C" w:rsidRPr="00B228B7" w:rsidRDefault="00624B5C" w:rsidP="00624B5C">
      <w:pPr>
        <w:numPr>
          <w:ilvl w:val="0"/>
          <w:numId w:val="10"/>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Fecha de sacrificio de los animales de los que proceden los productos objeto de contrato.</w:t>
      </w:r>
    </w:p>
    <w:p w:rsidR="00624B5C" w:rsidRPr="00B228B7" w:rsidRDefault="00624B5C" w:rsidP="00624B5C">
      <w:pPr>
        <w:numPr>
          <w:ilvl w:val="0"/>
          <w:numId w:val="10"/>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Fecha de entrada en el almacén.</w:t>
      </w:r>
    </w:p>
    <w:p w:rsidR="00624B5C" w:rsidRPr="00B228B7" w:rsidRDefault="00624B5C" w:rsidP="00624B5C">
      <w:pPr>
        <w:numPr>
          <w:ilvl w:val="0"/>
          <w:numId w:val="10"/>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Número de cortes embalados / pales / lotes y su peso.</w:t>
      </w:r>
    </w:p>
    <w:p w:rsidR="00624B5C" w:rsidRPr="00B228B7" w:rsidRDefault="00624B5C" w:rsidP="00624B5C">
      <w:pPr>
        <w:numPr>
          <w:ilvl w:val="0"/>
          <w:numId w:val="10"/>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Medios que permitan comprobar la identificación de los productos en el almacén y la dirección del almacén. </w:t>
      </w:r>
    </w:p>
    <w:p w:rsidR="00624B5C" w:rsidRPr="00B228B7" w:rsidRDefault="00624B5C" w:rsidP="00624B5C">
      <w:pPr>
        <w:numPr>
          <w:ilvl w:val="0"/>
          <w:numId w:val="10"/>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Fecha del fin del periodo de almacenamiento contractual y fecha real de salida de almacenamiento contractual.</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El contratante o, en su caso, el almacenista llevará, para cada contrato, una contabilidad de las existencias que se conservará en el almacén e incluirá los siguientes datos:</w:t>
      </w:r>
    </w:p>
    <w:p w:rsidR="00624B5C" w:rsidRPr="00B228B7" w:rsidRDefault="00624B5C" w:rsidP="00624B5C">
      <w:pPr>
        <w:numPr>
          <w:ilvl w:val="0"/>
          <w:numId w:val="11"/>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Identificación, por número de lote y palé o recipiente, de los productos objeto de almacenamiento privado.</w:t>
      </w:r>
    </w:p>
    <w:p w:rsidR="00624B5C" w:rsidRPr="00B228B7" w:rsidRDefault="00624B5C" w:rsidP="00624B5C">
      <w:pPr>
        <w:numPr>
          <w:ilvl w:val="0"/>
          <w:numId w:val="11"/>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Fechas de entrada y de salida del almacén.</w:t>
      </w:r>
    </w:p>
    <w:p w:rsidR="00624B5C" w:rsidRPr="00B228B7" w:rsidRDefault="00624B5C" w:rsidP="00624B5C">
      <w:pPr>
        <w:numPr>
          <w:ilvl w:val="0"/>
          <w:numId w:val="11"/>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Peso de cada lote y palé o recipiente de almacenamiento.</w:t>
      </w:r>
    </w:p>
    <w:p w:rsidR="00624B5C" w:rsidRPr="00B228B7" w:rsidRDefault="00624B5C" w:rsidP="00624B5C">
      <w:pPr>
        <w:numPr>
          <w:ilvl w:val="0"/>
          <w:numId w:val="11"/>
        </w:numPr>
        <w:shd w:val="clear" w:color="auto" w:fill="auto"/>
        <w:suppressAutoHyphens w:val="0"/>
        <w:spacing w:before="120" w:after="12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Localización de los productos en el almacén y croquis de su ubicación o confirmación de presencia virtual en el caso de cámaras robotizadas.</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Los derechos y obligaciones del contratante son intransferibles.</w:t>
      </w:r>
    </w:p>
    <w:p w:rsidR="00624B5C" w:rsidRPr="00B228B7" w:rsidRDefault="00624B5C" w:rsidP="00C451EB">
      <w:pPr>
        <w:pStyle w:val="Ttulo1"/>
        <w:ind w:left="426" w:hanging="426"/>
        <w:jc w:val="left"/>
        <w:rPr>
          <w:color w:val="auto"/>
        </w:rPr>
      </w:pPr>
      <w:bookmarkStart w:id="16" w:name="_Toc39652184"/>
      <w:bookmarkStart w:id="17" w:name="_Toc98418615"/>
      <w:r w:rsidRPr="00B228B7">
        <w:rPr>
          <w:color w:val="auto"/>
        </w:rPr>
        <w:lastRenderedPageBreak/>
        <w:t>Retirada de los productos. Controles al final del periodo de almacenamiento</w:t>
      </w:r>
      <w:bookmarkEnd w:id="16"/>
      <w:bookmarkEnd w:id="17"/>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La retirada del producto podrá comenzar el día siguiente al último día del período de almacenamiento contractual (El período de almacenamiento será de 60, 90, 120 o 150 días)</w:t>
      </w:r>
      <w:r w:rsidRPr="00B228B7">
        <w:rPr>
          <w:rFonts w:ascii="Arial" w:eastAsia="Calibri" w:hAnsi="Arial"/>
          <w:color w:val="auto"/>
          <w:sz w:val="24"/>
          <w:szCs w:val="22"/>
          <w:vertAlign w:val="superscript"/>
          <w:lang w:eastAsia="en-US"/>
        </w:rPr>
        <w:footnoteReference w:id="1"/>
      </w:r>
      <w:r w:rsidRPr="00B228B7">
        <w:rPr>
          <w:rFonts w:ascii="Arial" w:eastAsia="Calibri" w:hAnsi="Arial"/>
          <w:color w:val="auto"/>
          <w:sz w:val="24"/>
          <w:szCs w:val="22"/>
          <w:lang w:eastAsia="en-US"/>
        </w:rPr>
        <w:t>. Esta retirada se efectuará por lotes de almace</w:t>
      </w:r>
      <w:r w:rsidR="00187D1E" w:rsidRPr="00B228B7">
        <w:rPr>
          <w:rFonts w:ascii="Arial" w:eastAsia="Calibri" w:hAnsi="Arial"/>
          <w:color w:val="auto"/>
          <w:sz w:val="24"/>
          <w:szCs w:val="22"/>
          <w:lang w:eastAsia="en-US"/>
        </w:rPr>
        <w:t xml:space="preserve">namiento enteros a menos que </w:t>
      </w:r>
      <w:r w:rsidRPr="00B228B7">
        <w:rPr>
          <w:rFonts w:ascii="Arial" w:eastAsia="Calibri" w:hAnsi="Arial"/>
          <w:color w:val="auto"/>
          <w:sz w:val="24"/>
          <w:szCs w:val="22"/>
          <w:lang w:eastAsia="en-US"/>
        </w:rPr>
        <w:t>el Organismo Pagador autorice la retirada por cantidades inferiores.</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Al término del período de almacenamiento contractual, o antes del inicio de la retirada de productos, este Organismo Pagador efectuará controles sobre el terreno para verificar que se ha cumplido el compromiso contractual sobre la base de una comprobación documental del registro del almacén y de los justificantes, así como una verificación de la presencia de los lotes y de la identidad de los productos en el lugar del almacenamiento privado.</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Además, una muestra estadística representativa de al menos el 5 % de los lotes que abarque al menos el 5 % de las cantidades totales por las que se hayan celebrado contratos será objeto de un control físico para verificar la cantidad, tipo, envasado y marcado e identidad de los productos en el lugar del almacenamiento privado.</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En el caso de detectarse irregularidades significativas que afecten a un mínimo del 5% de las cantidades de los productos de un mismo contrato objeto de control, la comprobación se efectuará sobre una muestra más amplia que determinará la autoridad encargada del control.</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Cuando se, hayan precintado los productos de tal forma que la cantidad almacenada no pueda retirarse del lote individual sin romper el precinto, los controles a la retirada del producto podrán limitarse a verificar la presencia y la integridad de los precintos.</w:t>
      </w:r>
    </w:p>
    <w:p w:rsidR="00624B5C" w:rsidRPr="00B228B7" w:rsidRDefault="00624B5C" w:rsidP="00FB4A68">
      <w:pPr>
        <w:pStyle w:val="Ttulo1"/>
        <w:ind w:left="426" w:hanging="426"/>
        <w:jc w:val="left"/>
        <w:rPr>
          <w:color w:val="auto"/>
        </w:rPr>
      </w:pPr>
      <w:bookmarkStart w:id="18" w:name="_Toc98418616"/>
      <w:r w:rsidRPr="00B228B7">
        <w:rPr>
          <w:color w:val="auto"/>
        </w:rPr>
        <w:t>PAGO DE LA AYUDA</w:t>
      </w:r>
      <w:bookmarkEnd w:id="18"/>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Para el pago de la ayuda el interesado deberá presentar una solicitud de pago, ante este Organismo Pagador, a más tardar en un plazo de tres meses, calculados a partir del último día del almacenamiento contractual, según el modelo del Anexo III.</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La ayuda indicada en la solicitud de pago no será en ningún caso superior a la correspondiente a la cantidad almacenada que figura en el contrato de almacenamiento.</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El pago de la ayuda será efectuado en los 120 días siguientes a la fecha de presentación de la solicitud de pago. Siempre que se hayan cumplido las obligaciones contractuales y se haya efectuado el control al término del periodo de almacenamiento contractual. En el caso de haber observado irregularidades en el período de almacenamiento o a la salida de la mercancía, el pago no se realizará hasta que se haya reconocido el derecho a la ayuda.</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En la carne de porcino, la ayuda al almacenamiento privado se pagará por la cantidad contractual si la cantidad almacenada representa al menos el 97 % de la cantidad contratada, a condición de que la cantidad contractual se refiera a la carne fresca que entró en el almacén. No se pagará ayuda alguna, salvo casos de fuerza mayor, si el porcentaje es menor que el contemplado en el párrafo anterior. </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Si los controles efectuados durante el almacenamiento o a la salida del almacén revelan que los productos son defectuosos, no se abonará ninguna ayuda. Estos productos defectuosos no se incluirán en el cálculo de la cantidad contractual almacenada. Por otro </w:t>
      </w:r>
      <w:r w:rsidR="007B036C" w:rsidRPr="00B228B7">
        <w:rPr>
          <w:rFonts w:ascii="Arial" w:eastAsia="Calibri" w:hAnsi="Arial"/>
          <w:color w:val="auto"/>
          <w:sz w:val="24"/>
          <w:szCs w:val="22"/>
          <w:lang w:eastAsia="en-US"/>
        </w:rPr>
        <w:t>lado,</w:t>
      </w:r>
      <w:r w:rsidRPr="00B228B7">
        <w:rPr>
          <w:rFonts w:ascii="Arial" w:eastAsia="Calibri" w:hAnsi="Arial"/>
          <w:color w:val="auto"/>
          <w:sz w:val="24"/>
          <w:szCs w:val="22"/>
          <w:lang w:eastAsia="en-US"/>
        </w:rPr>
        <w:t xml:space="preserve"> la cantidad restante del producto almacenado no podrá ser inferior a la cantidad </w:t>
      </w:r>
      <w:r w:rsidRPr="00B228B7">
        <w:rPr>
          <w:rFonts w:ascii="Arial" w:eastAsia="Calibri" w:hAnsi="Arial"/>
          <w:color w:val="auto"/>
          <w:sz w:val="24"/>
          <w:szCs w:val="22"/>
          <w:lang w:eastAsia="en-US"/>
        </w:rPr>
        <w:lastRenderedPageBreak/>
        <w:t>mínima de 7 t para productos deshuesados o 15 t para los demás productos, establecida en el reglamento de apertura.</w:t>
      </w:r>
    </w:p>
    <w:p w:rsidR="00624B5C" w:rsidRPr="00B228B7" w:rsidRDefault="00624B5C" w:rsidP="00624B5C">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En cualquier caso, el importe de la ayuda no podrá ser superior al correspondiente a un periodo de almacenamiento de 60, 90, 120 o 150 días naturales, en función del periodo solicitado. </w:t>
      </w:r>
    </w:p>
    <w:p w:rsidR="00624B5C" w:rsidRPr="00B228B7" w:rsidRDefault="00624B5C" w:rsidP="00971D90">
      <w:pPr>
        <w:shd w:val="clear" w:color="auto" w:fill="auto"/>
        <w:suppressAutoHyphens w:val="0"/>
        <w:spacing w:before="120" w:after="12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Salvo casos de fuerza mayor, si no se respeta el periodo de almacenamiento contractual, la ayuda para el contrato en cuestión se reducirá un 10% por cada día natural de incumplimiento, hasta llegar al 100% de la ayuda.</w:t>
      </w:r>
    </w:p>
    <w:p w:rsidR="00971D90" w:rsidRPr="00B228B7" w:rsidRDefault="00971D90" w:rsidP="00971D90">
      <w:pPr>
        <w:shd w:val="clear" w:color="auto" w:fill="auto"/>
        <w:suppressAutoHyphens w:val="0"/>
        <w:spacing w:before="120" w:after="120"/>
        <w:ind w:firstLine="0"/>
        <w:rPr>
          <w:rFonts w:ascii="Arial" w:eastAsia="Calibri" w:hAnsi="Arial"/>
          <w:color w:val="auto"/>
          <w:sz w:val="24"/>
          <w:szCs w:val="22"/>
          <w:lang w:eastAsia="en-US"/>
        </w:rPr>
      </w:pPr>
    </w:p>
    <w:p w:rsidR="00624B5C" w:rsidRPr="00B228B7" w:rsidRDefault="00971D90" w:rsidP="00971D90">
      <w:pPr>
        <w:pStyle w:val="Ttulo1"/>
        <w:ind w:left="426" w:hanging="426"/>
        <w:jc w:val="left"/>
        <w:rPr>
          <w:color w:val="auto"/>
        </w:rPr>
      </w:pPr>
      <w:bookmarkStart w:id="19" w:name="_Toc98418617"/>
      <w:r w:rsidRPr="00B228B7">
        <w:rPr>
          <w:color w:val="auto"/>
        </w:rPr>
        <w:t>GARANTÍAS</w:t>
      </w:r>
      <w:bookmarkEnd w:id="19"/>
    </w:p>
    <w:p w:rsidR="00624B5C" w:rsidRPr="00B228B7" w:rsidRDefault="00624B5C" w:rsidP="00624B5C">
      <w:pPr>
        <w:shd w:val="clear" w:color="auto" w:fill="auto"/>
        <w:suppressAutoHyphens w:val="0"/>
        <w:spacing w:before="120" w:after="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Las garantías presentadas por los operadores serán devueltas una vez se considere el cumplimiento de todos los términos contemplados en la legislación comunitaria respecto al almacenamiento privado de la carne de porcino.</w:t>
      </w:r>
    </w:p>
    <w:p w:rsidR="00624B5C" w:rsidRPr="00B228B7" w:rsidRDefault="00624B5C" w:rsidP="00624B5C">
      <w:pPr>
        <w:shd w:val="clear" w:color="auto" w:fill="auto"/>
        <w:suppressAutoHyphens w:val="0"/>
        <w:spacing w:before="120" w:after="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La garantía presentada para el almacenamiento privado se liberará en los siguientes casos: </w:t>
      </w:r>
    </w:p>
    <w:p w:rsidR="00624B5C" w:rsidRPr="00B228B7" w:rsidRDefault="00624B5C" w:rsidP="00624B5C">
      <w:pPr>
        <w:numPr>
          <w:ilvl w:val="0"/>
          <w:numId w:val="8"/>
        </w:numPr>
        <w:shd w:val="clear" w:color="auto" w:fill="auto"/>
        <w:suppressAutoHyphens w:val="0"/>
        <w:spacing w:before="120" w:after="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Cuando una solicitud de ayuda sea inadmisible o no haya sido aceptada. </w:t>
      </w:r>
    </w:p>
    <w:p w:rsidR="00624B5C" w:rsidRPr="00B228B7" w:rsidRDefault="00624B5C" w:rsidP="00624B5C">
      <w:pPr>
        <w:numPr>
          <w:ilvl w:val="0"/>
          <w:numId w:val="8"/>
        </w:numPr>
        <w:shd w:val="clear" w:color="auto" w:fill="auto"/>
        <w:suppressAutoHyphens w:val="0"/>
        <w:spacing w:before="120" w:after="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Cuando se hayan cumplido las obligaciones contractuales.</w:t>
      </w:r>
    </w:p>
    <w:p w:rsidR="00624B5C" w:rsidRPr="00B228B7" w:rsidRDefault="00624B5C" w:rsidP="00624B5C">
      <w:pPr>
        <w:shd w:val="clear" w:color="auto" w:fill="auto"/>
        <w:suppressAutoHyphens w:val="0"/>
        <w:spacing w:before="120" w:after="0"/>
        <w:ind w:firstLine="0"/>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Sin embargo, la garantía correspondiente se ejecutará cuando: </w:t>
      </w:r>
    </w:p>
    <w:p w:rsidR="00624B5C" w:rsidRPr="00B228B7" w:rsidRDefault="00624B5C" w:rsidP="00624B5C">
      <w:pPr>
        <w:numPr>
          <w:ilvl w:val="0"/>
          <w:numId w:val="9"/>
        </w:numPr>
        <w:shd w:val="clear" w:color="auto" w:fill="auto"/>
        <w:suppressAutoHyphens w:val="0"/>
        <w:spacing w:before="120" w:after="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La solicitud de ayuda se retire por motivos distintos de la fijación de un coeficiente de asignación. </w:t>
      </w:r>
    </w:p>
    <w:p w:rsidR="00624B5C" w:rsidRPr="00B228B7" w:rsidRDefault="00624B5C" w:rsidP="00624B5C">
      <w:pPr>
        <w:numPr>
          <w:ilvl w:val="0"/>
          <w:numId w:val="9"/>
        </w:numPr>
        <w:shd w:val="clear" w:color="auto" w:fill="auto"/>
        <w:suppressAutoHyphens w:val="0"/>
        <w:spacing w:before="120" w:after="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La solicitud de ayuda se modifique tras su presentación. </w:t>
      </w:r>
    </w:p>
    <w:p w:rsidR="00624B5C" w:rsidRPr="00B228B7" w:rsidRDefault="00624B5C" w:rsidP="00624B5C">
      <w:pPr>
        <w:numPr>
          <w:ilvl w:val="0"/>
          <w:numId w:val="9"/>
        </w:numPr>
        <w:shd w:val="clear" w:color="auto" w:fill="auto"/>
        <w:suppressAutoHyphens w:val="0"/>
        <w:spacing w:before="120" w:after="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Entren en almacén menos del 95 % de las cantidades especificadas en la solicitud en las condiciones previstas en el artículo 52, apartado 1, letra a), del Reglamento de Ejecución (UE) 2016/1240. </w:t>
      </w:r>
    </w:p>
    <w:p w:rsidR="00624B5C" w:rsidRPr="00B228B7" w:rsidRDefault="00624B5C" w:rsidP="00624B5C">
      <w:pPr>
        <w:numPr>
          <w:ilvl w:val="0"/>
          <w:numId w:val="9"/>
        </w:numPr>
        <w:shd w:val="clear" w:color="auto" w:fill="auto"/>
        <w:suppressAutoHyphens w:val="0"/>
        <w:spacing w:before="120" w:after="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La cantidad conservada en almacén durante el periodo de almacenamiento sea inferior al 97% de la cantidad contractual. </w:t>
      </w:r>
    </w:p>
    <w:p w:rsidR="00624B5C" w:rsidRPr="00B228B7" w:rsidRDefault="00624B5C" w:rsidP="00624B5C">
      <w:pPr>
        <w:numPr>
          <w:ilvl w:val="0"/>
          <w:numId w:val="9"/>
        </w:numPr>
        <w:shd w:val="clear" w:color="auto" w:fill="auto"/>
        <w:suppressAutoHyphens w:val="0"/>
        <w:spacing w:before="120" w:after="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 xml:space="preserve">No se cumpla el plazo para la entrada de los productos en almacén establecido en el artículo 47, apartado 1, del Reglamento de Ejecución (UE) 2016/1240. </w:t>
      </w:r>
    </w:p>
    <w:p w:rsidR="00624B5C" w:rsidRPr="00B228B7" w:rsidRDefault="00624B5C" w:rsidP="00624B5C">
      <w:pPr>
        <w:numPr>
          <w:ilvl w:val="0"/>
          <w:numId w:val="9"/>
        </w:numPr>
        <w:shd w:val="clear" w:color="auto" w:fill="auto"/>
        <w:suppressAutoHyphens w:val="0"/>
        <w:spacing w:before="120" w:after="0"/>
        <w:contextualSpacing/>
        <w:rPr>
          <w:rFonts w:ascii="Arial" w:eastAsia="Calibri" w:hAnsi="Arial"/>
          <w:color w:val="auto"/>
          <w:sz w:val="24"/>
          <w:szCs w:val="22"/>
          <w:lang w:eastAsia="en-US"/>
        </w:rPr>
      </w:pPr>
      <w:r w:rsidRPr="00B228B7">
        <w:rPr>
          <w:rFonts w:ascii="Arial" w:eastAsia="Calibri" w:hAnsi="Arial"/>
          <w:color w:val="auto"/>
          <w:sz w:val="24"/>
          <w:szCs w:val="22"/>
          <w:lang w:eastAsia="en-US"/>
        </w:rPr>
        <w:t>Los controles previstos demuestren que los productos almacenados no se ajustan a los requisitos de calidad para la admisibilidad del producto.</w:t>
      </w:r>
    </w:p>
    <w:p w:rsidR="00C451EB" w:rsidRPr="00B228B7" w:rsidRDefault="00C451EB" w:rsidP="00C451EB">
      <w:pPr>
        <w:shd w:val="clear" w:color="auto" w:fill="auto"/>
        <w:suppressAutoHyphens w:val="0"/>
        <w:spacing w:before="120" w:after="0"/>
        <w:contextualSpacing/>
        <w:rPr>
          <w:rFonts w:ascii="Arial" w:eastAsia="Calibri" w:hAnsi="Arial"/>
          <w:color w:val="auto"/>
          <w:sz w:val="24"/>
          <w:szCs w:val="22"/>
          <w:lang w:eastAsia="en-US"/>
        </w:rPr>
      </w:pPr>
    </w:p>
    <w:p w:rsidR="00C451EB" w:rsidRPr="00B228B7" w:rsidRDefault="00C451EB">
      <w:pPr>
        <w:shd w:val="clear" w:color="auto" w:fill="auto"/>
        <w:suppressAutoHyphens w:val="0"/>
        <w:spacing w:after="0"/>
        <w:ind w:firstLine="0"/>
        <w:jc w:val="left"/>
        <w:rPr>
          <w:rFonts w:ascii="Arial" w:eastAsia="Calibri" w:hAnsi="Arial"/>
          <w:color w:val="auto"/>
          <w:sz w:val="24"/>
          <w:szCs w:val="22"/>
          <w:lang w:eastAsia="en-US"/>
        </w:rPr>
      </w:pPr>
      <w:r w:rsidRPr="00B228B7">
        <w:rPr>
          <w:rFonts w:ascii="Arial" w:eastAsia="Calibri" w:hAnsi="Arial"/>
          <w:color w:val="auto"/>
          <w:sz w:val="24"/>
          <w:szCs w:val="22"/>
          <w:lang w:eastAsia="en-US"/>
        </w:rPr>
        <w:br w:type="page"/>
      </w:r>
    </w:p>
    <w:p w:rsidR="006320FA" w:rsidRPr="00B228B7" w:rsidRDefault="006320FA" w:rsidP="00C159C6">
      <w:pPr>
        <w:shd w:val="clear" w:color="auto" w:fill="auto"/>
        <w:suppressAutoHyphens w:val="0"/>
        <w:spacing w:after="0"/>
        <w:ind w:firstLine="0"/>
        <w:jc w:val="center"/>
        <w:rPr>
          <w:rFonts w:ascii="Arial" w:eastAsia="Calibri" w:hAnsi="Arial" w:cs="Arial"/>
          <w:b/>
          <w:color w:val="auto"/>
          <w:sz w:val="24"/>
          <w:szCs w:val="24"/>
          <w:lang w:eastAsia="en-US"/>
        </w:rPr>
      </w:pPr>
      <w:r w:rsidRPr="00B228B7">
        <w:rPr>
          <w:rFonts w:ascii="Arial" w:hAnsi="Arial" w:cs="Arial"/>
          <w:b/>
          <w:color w:val="auto"/>
          <w:sz w:val="24"/>
          <w:szCs w:val="24"/>
          <w:lang w:eastAsia="es-ES"/>
        </w:rPr>
        <w:lastRenderedPageBreak/>
        <w:t>Anexo. Productos admisibles, descripción de los mismos, código de la nomenclatura aduanera (código NC) e importes de ayuda que se han fijado por anticipado para cada uno de los periodos de almacenamiento</w:t>
      </w:r>
    </w:p>
    <w:p w:rsidR="00C159C6" w:rsidRPr="00B228B7" w:rsidRDefault="00C159C6" w:rsidP="00624B5C">
      <w:pPr>
        <w:shd w:val="clear" w:color="auto" w:fill="auto"/>
        <w:suppressAutoHyphens w:val="0"/>
        <w:spacing w:before="120" w:after="120"/>
        <w:ind w:firstLine="0"/>
        <w:rPr>
          <w:rFonts w:ascii="Arial" w:eastAsia="Calibri" w:hAnsi="Arial"/>
          <w:color w:val="auto"/>
          <w:sz w:val="24"/>
          <w:szCs w:val="22"/>
          <w:lang w:eastAsia="es-ES"/>
        </w:rPr>
      </w:pPr>
      <w:bookmarkStart w:id="20" w:name="_Toc98418623"/>
      <w:bookmarkEnd w:id="1"/>
      <w:bookmarkEnd w:id="20"/>
    </w:p>
    <w:tbl>
      <w:tblPr>
        <w:tblpPr w:leftFromText="141" w:rightFromText="141" w:vertAnchor="text" w:horzAnchor="margin" w:tblpX="132" w:tblpY="-228"/>
        <w:tblOverlap w:val="never"/>
        <w:tblW w:w="9498" w:type="dxa"/>
        <w:tblLayout w:type="fixed"/>
        <w:tblCellMar>
          <w:left w:w="70" w:type="dxa"/>
          <w:right w:w="70" w:type="dxa"/>
        </w:tblCellMar>
        <w:tblLook w:val="04A0" w:firstRow="1" w:lastRow="0" w:firstColumn="1" w:lastColumn="0" w:noHBand="0" w:noVBand="1"/>
      </w:tblPr>
      <w:tblGrid>
        <w:gridCol w:w="1408"/>
        <w:gridCol w:w="4404"/>
        <w:gridCol w:w="851"/>
        <w:gridCol w:w="141"/>
        <w:gridCol w:w="851"/>
        <w:gridCol w:w="992"/>
        <w:gridCol w:w="851"/>
      </w:tblGrid>
      <w:tr w:rsidR="00B228B7" w:rsidRPr="00B228B7" w:rsidTr="006320FA">
        <w:trPr>
          <w:trHeight w:val="945"/>
        </w:trPr>
        <w:tc>
          <w:tcPr>
            <w:tcW w:w="1408"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rsidR="00624B5C" w:rsidRPr="00B228B7" w:rsidRDefault="00624B5C" w:rsidP="00C159C6">
            <w:pPr>
              <w:shd w:val="clear" w:color="auto" w:fill="auto"/>
              <w:suppressAutoHyphens w:val="0"/>
              <w:spacing w:after="0"/>
              <w:ind w:firstLine="0"/>
              <w:rPr>
                <w:rFonts w:ascii="Arial" w:hAnsi="Arial" w:cs="Arial"/>
                <w:b/>
                <w:bCs/>
                <w:color w:val="auto"/>
                <w:sz w:val="20"/>
                <w:szCs w:val="20"/>
                <w:lang w:eastAsia="es-ES"/>
              </w:rPr>
            </w:pPr>
            <w:r w:rsidRPr="00B228B7">
              <w:rPr>
                <w:rFonts w:ascii="Arial" w:hAnsi="Arial" w:cs="Arial"/>
                <w:b/>
                <w:bCs/>
                <w:color w:val="auto"/>
                <w:sz w:val="20"/>
                <w:szCs w:val="20"/>
                <w:lang w:eastAsia="es-ES"/>
              </w:rPr>
              <w:t>CÓDIGO NC</w:t>
            </w:r>
          </w:p>
        </w:tc>
        <w:tc>
          <w:tcPr>
            <w:tcW w:w="44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center"/>
              <w:rPr>
                <w:rFonts w:ascii="Arial" w:hAnsi="Arial" w:cs="Arial"/>
                <w:b/>
                <w:bCs/>
                <w:color w:val="auto"/>
                <w:sz w:val="20"/>
                <w:szCs w:val="20"/>
                <w:lang w:eastAsia="es-ES"/>
              </w:rPr>
            </w:pPr>
            <w:r w:rsidRPr="00B228B7">
              <w:rPr>
                <w:rFonts w:ascii="Arial" w:hAnsi="Arial" w:cs="Arial"/>
                <w:b/>
                <w:bCs/>
                <w:color w:val="auto"/>
                <w:sz w:val="20"/>
                <w:szCs w:val="20"/>
                <w:lang w:eastAsia="es-ES"/>
              </w:rPr>
              <w:t>PRODUCTOS POR LOS QUE SE CONCEDEN LAS AYUDAS AL ALMACENAMIENTO PRIVADO DE PORCINO EN BASE AL REGLAMENTO DE EJECUCIÓN (UE) 2022/</w:t>
            </w:r>
            <w:r w:rsidRPr="00B228B7">
              <w:rPr>
                <w:rFonts w:ascii="Arial" w:hAnsi="Arial" w:cs="Arial"/>
                <w:b/>
                <w:bCs/>
                <w:color w:val="auto"/>
                <w:sz w:val="20"/>
                <w:szCs w:val="20"/>
                <w:highlight w:val="yellow"/>
                <w:lang w:eastAsia="es-ES"/>
              </w:rPr>
              <w:t>XXX</w:t>
            </w:r>
          </w:p>
        </w:tc>
        <w:tc>
          <w:tcPr>
            <w:tcW w:w="992" w:type="dxa"/>
            <w:gridSpan w:val="2"/>
            <w:tcBorders>
              <w:top w:val="single" w:sz="4" w:space="0" w:color="auto"/>
              <w:left w:val="single" w:sz="4" w:space="0" w:color="auto"/>
              <w:bottom w:val="nil"/>
            </w:tcBorders>
          </w:tcPr>
          <w:p w:rsidR="00624B5C" w:rsidRPr="00B228B7" w:rsidRDefault="00624B5C" w:rsidP="00624B5C">
            <w:pPr>
              <w:shd w:val="clear" w:color="auto" w:fill="auto"/>
              <w:suppressAutoHyphens w:val="0"/>
              <w:spacing w:after="0"/>
              <w:ind w:firstLine="0"/>
              <w:jc w:val="center"/>
              <w:rPr>
                <w:rFonts w:ascii="Arial" w:hAnsi="Arial" w:cs="Arial"/>
                <w:b/>
                <w:bCs/>
                <w:color w:val="auto"/>
                <w:sz w:val="20"/>
                <w:szCs w:val="20"/>
                <w:lang w:eastAsia="es-ES"/>
              </w:rPr>
            </w:pPr>
          </w:p>
        </w:tc>
        <w:tc>
          <w:tcPr>
            <w:tcW w:w="2694" w:type="dxa"/>
            <w:gridSpan w:val="3"/>
            <w:tcBorders>
              <w:top w:val="single" w:sz="8" w:space="0" w:color="auto"/>
              <w:left w:val="nil"/>
              <w:bottom w:val="nil"/>
              <w:right w:val="single" w:sz="8" w:space="0" w:color="000000"/>
            </w:tcBorders>
            <w:shd w:val="clear" w:color="auto" w:fill="auto"/>
            <w:vAlign w:val="center"/>
            <w:hideMark/>
          </w:tcPr>
          <w:p w:rsidR="00624B5C" w:rsidRPr="00B228B7" w:rsidRDefault="00624B5C" w:rsidP="00624B5C">
            <w:pPr>
              <w:shd w:val="clear" w:color="auto" w:fill="auto"/>
              <w:suppressAutoHyphens w:val="0"/>
              <w:spacing w:after="0"/>
              <w:ind w:firstLine="0"/>
              <w:jc w:val="center"/>
              <w:rPr>
                <w:rFonts w:ascii="Arial" w:hAnsi="Arial" w:cs="Arial"/>
                <w:b/>
                <w:bCs/>
                <w:color w:val="auto"/>
                <w:sz w:val="20"/>
                <w:szCs w:val="20"/>
                <w:lang w:eastAsia="es-ES"/>
              </w:rPr>
            </w:pPr>
            <w:r w:rsidRPr="00B228B7">
              <w:rPr>
                <w:rFonts w:ascii="Arial" w:hAnsi="Arial" w:cs="Arial"/>
                <w:b/>
                <w:bCs/>
                <w:color w:val="auto"/>
                <w:sz w:val="20"/>
                <w:szCs w:val="20"/>
                <w:lang w:eastAsia="es-ES"/>
              </w:rPr>
              <w:t>IMPORTE DE LAS AYUDAS PARA UN PERIODO DE ALMACENAMIENTO €/t</w:t>
            </w:r>
          </w:p>
        </w:tc>
      </w:tr>
      <w:tr w:rsidR="00B228B7" w:rsidRPr="00B228B7" w:rsidTr="006320FA">
        <w:trPr>
          <w:trHeight w:val="315"/>
        </w:trPr>
        <w:tc>
          <w:tcPr>
            <w:tcW w:w="1408" w:type="dxa"/>
            <w:vMerge/>
            <w:tcBorders>
              <w:top w:val="single" w:sz="8" w:space="0" w:color="auto"/>
              <w:left w:val="single" w:sz="8" w:space="0" w:color="auto"/>
              <w:bottom w:val="single" w:sz="8" w:space="0" w:color="000000"/>
              <w:right w:val="single" w:sz="4" w:space="0" w:color="auto"/>
            </w:tcBorders>
            <w:vAlign w:val="center"/>
            <w:hideMark/>
          </w:tcPr>
          <w:p w:rsidR="00624B5C" w:rsidRPr="00B228B7" w:rsidRDefault="00624B5C" w:rsidP="00624B5C">
            <w:pPr>
              <w:shd w:val="clear" w:color="auto" w:fill="auto"/>
              <w:suppressAutoHyphens w:val="0"/>
              <w:spacing w:after="0"/>
              <w:ind w:firstLine="0"/>
              <w:jc w:val="left"/>
              <w:rPr>
                <w:rFonts w:ascii="Arial" w:hAnsi="Arial" w:cs="Arial"/>
                <w:b/>
                <w:bCs/>
                <w:color w:val="auto"/>
                <w:sz w:val="20"/>
                <w:szCs w:val="20"/>
                <w:lang w:eastAsia="es-ES"/>
              </w:rPr>
            </w:pPr>
          </w:p>
        </w:tc>
        <w:tc>
          <w:tcPr>
            <w:tcW w:w="4404" w:type="dxa"/>
            <w:vMerge/>
            <w:tcBorders>
              <w:top w:val="single" w:sz="8" w:space="0" w:color="000000"/>
              <w:left w:val="single" w:sz="4" w:space="0" w:color="auto"/>
              <w:bottom w:val="single" w:sz="4" w:space="0" w:color="auto"/>
              <w:right w:val="single" w:sz="4" w:space="0" w:color="auto"/>
            </w:tcBorders>
            <w:vAlign w:val="center"/>
            <w:hideMark/>
          </w:tcPr>
          <w:p w:rsidR="00624B5C" w:rsidRPr="00B228B7" w:rsidRDefault="00624B5C" w:rsidP="00624B5C">
            <w:pPr>
              <w:shd w:val="clear" w:color="auto" w:fill="auto"/>
              <w:suppressAutoHyphens w:val="0"/>
              <w:spacing w:after="0"/>
              <w:ind w:firstLine="0"/>
              <w:jc w:val="left"/>
              <w:rPr>
                <w:rFonts w:ascii="Arial" w:hAnsi="Arial" w:cs="Arial"/>
                <w:b/>
                <w:bCs/>
                <w:color w:val="auto"/>
                <w:sz w:val="20"/>
                <w:szCs w:val="20"/>
                <w:lang w:eastAsia="es-ES"/>
              </w:rPr>
            </w:pPr>
          </w:p>
        </w:tc>
        <w:tc>
          <w:tcPr>
            <w:tcW w:w="851"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center"/>
              <w:rPr>
                <w:rFonts w:ascii="Arial" w:hAnsi="Arial" w:cs="Arial"/>
                <w:b/>
                <w:bCs/>
                <w:color w:val="auto"/>
                <w:sz w:val="20"/>
                <w:szCs w:val="20"/>
                <w:lang w:eastAsia="es-ES"/>
              </w:rPr>
            </w:pPr>
            <w:r w:rsidRPr="00B228B7">
              <w:rPr>
                <w:rFonts w:ascii="Arial" w:hAnsi="Arial" w:cs="Arial"/>
                <w:b/>
                <w:bCs/>
                <w:color w:val="auto"/>
                <w:sz w:val="20"/>
                <w:szCs w:val="20"/>
                <w:lang w:eastAsia="es-ES"/>
              </w:rPr>
              <w:t>60 días</w:t>
            </w:r>
          </w:p>
        </w:tc>
        <w:tc>
          <w:tcPr>
            <w:tcW w:w="992" w:type="dxa"/>
            <w:gridSpan w:val="2"/>
            <w:tcBorders>
              <w:top w:val="single" w:sz="4" w:space="0" w:color="auto"/>
              <w:left w:val="single" w:sz="4" w:space="0" w:color="auto"/>
              <w:bottom w:val="single" w:sz="4" w:space="0" w:color="auto"/>
              <w:right w:val="single" w:sz="4" w:space="0" w:color="auto"/>
            </w:tcBorders>
          </w:tcPr>
          <w:p w:rsidR="00624B5C" w:rsidRPr="00B228B7" w:rsidRDefault="00624B5C" w:rsidP="00624B5C">
            <w:pPr>
              <w:shd w:val="clear" w:color="auto" w:fill="auto"/>
              <w:suppressAutoHyphens w:val="0"/>
              <w:spacing w:before="120" w:after="0"/>
              <w:ind w:firstLine="0"/>
              <w:jc w:val="left"/>
              <w:rPr>
                <w:rFonts w:ascii="Arial" w:hAnsi="Arial" w:cs="Arial"/>
                <w:b/>
                <w:bCs/>
                <w:color w:val="auto"/>
                <w:sz w:val="20"/>
                <w:szCs w:val="20"/>
                <w:lang w:eastAsia="es-ES"/>
              </w:rPr>
            </w:pPr>
            <w:r w:rsidRPr="00B228B7">
              <w:rPr>
                <w:rFonts w:ascii="Arial" w:hAnsi="Arial" w:cs="Arial"/>
                <w:b/>
                <w:bCs/>
                <w:color w:val="auto"/>
                <w:sz w:val="20"/>
                <w:szCs w:val="20"/>
                <w:lang w:eastAsia="es-ES"/>
              </w:rPr>
              <w:t>90 días</w:t>
            </w:r>
          </w:p>
        </w:tc>
        <w:tc>
          <w:tcPr>
            <w:tcW w:w="992"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b/>
                <w:bCs/>
                <w:color w:val="auto"/>
                <w:sz w:val="20"/>
                <w:szCs w:val="20"/>
                <w:lang w:eastAsia="es-ES"/>
              </w:rPr>
            </w:pPr>
            <w:r w:rsidRPr="00B228B7">
              <w:rPr>
                <w:rFonts w:ascii="Arial" w:hAnsi="Arial" w:cs="Arial"/>
                <w:b/>
                <w:bCs/>
                <w:color w:val="auto"/>
                <w:sz w:val="20"/>
                <w:szCs w:val="20"/>
                <w:lang w:eastAsia="es-ES"/>
              </w:rPr>
              <w:t>120 días</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b/>
                <w:bCs/>
                <w:color w:val="auto"/>
                <w:sz w:val="20"/>
                <w:szCs w:val="20"/>
                <w:lang w:eastAsia="es-ES"/>
              </w:rPr>
            </w:pPr>
            <w:r w:rsidRPr="00B228B7">
              <w:rPr>
                <w:rFonts w:ascii="Arial" w:hAnsi="Arial" w:cs="Arial"/>
                <w:b/>
                <w:bCs/>
                <w:color w:val="auto"/>
                <w:sz w:val="20"/>
                <w:szCs w:val="20"/>
                <w:lang w:eastAsia="es-ES"/>
              </w:rPr>
              <w:t>150 días</w:t>
            </w:r>
          </w:p>
        </w:tc>
      </w:tr>
      <w:tr w:rsidR="00B228B7" w:rsidRPr="00B228B7" w:rsidTr="006320FA">
        <w:trPr>
          <w:trHeight w:val="315"/>
        </w:trPr>
        <w:tc>
          <w:tcPr>
            <w:tcW w:w="1408" w:type="dxa"/>
            <w:tcBorders>
              <w:top w:val="nil"/>
              <w:left w:val="single" w:sz="8" w:space="0" w:color="auto"/>
              <w:bottom w:val="nil"/>
              <w:right w:val="nil"/>
            </w:tcBorders>
            <w:shd w:val="clear" w:color="auto" w:fill="auto"/>
            <w:vAlign w:val="center"/>
            <w:hideMark/>
          </w:tcPr>
          <w:p w:rsidR="00624B5C" w:rsidRPr="00B228B7" w:rsidRDefault="00624B5C" w:rsidP="00624B5C">
            <w:pPr>
              <w:shd w:val="clear" w:color="auto" w:fill="auto"/>
              <w:suppressAutoHyphens w:val="0"/>
              <w:spacing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1</w:t>
            </w:r>
          </w:p>
        </w:tc>
        <w:tc>
          <w:tcPr>
            <w:tcW w:w="4404" w:type="dxa"/>
            <w:tcBorders>
              <w:top w:val="single" w:sz="4" w:space="0" w:color="auto"/>
              <w:left w:val="single" w:sz="8" w:space="0" w:color="auto"/>
              <w:bottom w:val="nil"/>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2</w:t>
            </w:r>
          </w:p>
        </w:tc>
        <w:tc>
          <w:tcPr>
            <w:tcW w:w="851" w:type="dxa"/>
            <w:tcBorders>
              <w:top w:val="nil"/>
              <w:left w:val="nil"/>
              <w:bottom w:val="nil"/>
              <w:right w:val="nil"/>
            </w:tcBorders>
            <w:shd w:val="clear" w:color="auto" w:fill="auto"/>
            <w:vAlign w:val="center"/>
            <w:hideMark/>
          </w:tcPr>
          <w:p w:rsidR="00624B5C" w:rsidRPr="00B228B7" w:rsidRDefault="00624B5C" w:rsidP="00624B5C">
            <w:pPr>
              <w:shd w:val="clear" w:color="auto" w:fill="auto"/>
              <w:suppressAutoHyphens w:val="0"/>
              <w:spacing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w:t>
            </w:r>
          </w:p>
        </w:tc>
        <w:tc>
          <w:tcPr>
            <w:tcW w:w="992" w:type="dxa"/>
            <w:gridSpan w:val="2"/>
            <w:tcBorders>
              <w:top w:val="nil"/>
              <w:left w:val="single" w:sz="8" w:space="0" w:color="auto"/>
              <w:bottom w:val="single" w:sz="4" w:space="0" w:color="auto"/>
              <w:right w:val="single" w:sz="8" w:space="0" w:color="auto"/>
            </w:tcBorders>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4</w:t>
            </w:r>
          </w:p>
        </w:tc>
        <w:tc>
          <w:tcPr>
            <w:tcW w:w="992" w:type="dxa"/>
            <w:tcBorders>
              <w:top w:val="nil"/>
              <w:left w:val="single" w:sz="8" w:space="0" w:color="auto"/>
              <w:bottom w:val="nil"/>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5</w:t>
            </w:r>
          </w:p>
        </w:tc>
        <w:tc>
          <w:tcPr>
            <w:tcW w:w="851" w:type="dxa"/>
            <w:tcBorders>
              <w:top w:val="nil"/>
              <w:left w:val="nil"/>
              <w:bottom w:val="nil"/>
              <w:right w:val="nil"/>
            </w:tcBorders>
            <w:shd w:val="clear" w:color="auto" w:fill="auto"/>
            <w:vAlign w:val="center"/>
            <w:hideMark/>
          </w:tcPr>
          <w:p w:rsidR="00624B5C" w:rsidRPr="00B228B7" w:rsidRDefault="00624B5C" w:rsidP="00624B5C">
            <w:pPr>
              <w:shd w:val="clear" w:color="auto" w:fill="auto"/>
              <w:suppressAutoHyphens w:val="0"/>
              <w:spacing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6</w:t>
            </w:r>
          </w:p>
        </w:tc>
      </w:tr>
      <w:tr w:rsidR="00B228B7" w:rsidRPr="00B228B7" w:rsidTr="006320FA">
        <w:trPr>
          <w:trHeight w:val="473"/>
        </w:trPr>
        <w:tc>
          <w:tcPr>
            <w:tcW w:w="1408" w:type="dxa"/>
            <w:tcBorders>
              <w:top w:val="single" w:sz="8" w:space="0" w:color="auto"/>
              <w:left w:val="single" w:sz="8" w:space="0" w:color="auto"/>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color w:val="auto"/>
                <w:sz w:val="20"/>
                <w:szCs w:val="20"/>
                <w:lang w:eastAsia="es-ES"/>
              </w:rPr>
              <w:t>ex 0203 11 10</w:t>
            </w:r>
          </w:p>
        </w:tc>
        <w:tc>
          <w:tcPr>
            <w:tcW w:w="4404" w:type="dxa"/>
            <w:tcBorders>
              <w:top w:val="single" w:sz="8" w:space="0" w:color="auto"/>
              <w:left w:val="nil"/>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b/>
                <w:bCs/>
                <w:color w:val="auto"/>
                <w:sz w:val="20"/>
                <w:szCs w:val="20"/>
                <w:lang w:eastAsia="es-ES"/>
              </w:rPr>
              <w:t>Categoría 1.</w:t>
            </w:r>
            <w:r w:rsidRPr="00B228B7">
              <w:rPr>
                <w:rFonts w:ascii="Arial" w:hAnsi="Arial" w:cs="Arial"/>
                <w:color w:val="auto"/>
                <w:sz w:val="20"/>
                <w:szCs w:val="20"/>
                <w:lang w:eastAsia="es-ES"/>
              </w:rPr>
              <w:t xml:space="preserve"> Medias canales, presentadas sin pata delantera, rabo, riñón, diafragma ni médula espinal (1). Canales enteras de animales hasta 20 kg</w:t>
            </w:r>
          </w:p>
        </w:tc>
        <w:tc>
          <w:tcPr>
            <w:tcW w:w="851" w:type="dxa"/>
            <w:tcBorders>
              <w:top w:val="single" w:sz="8" w:space="0" w:color="auto"/>
              <w:left w:val="nil"/>
              <w:bottom w:val="single" w:sz="12" w:space="0" w:color="auto"/>
              <w:right w:val="single" w:sz="4"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270</w:t>
            </w:r>
          </w:p>
        </w:tc>
        <w:tc>
          <w:tcPr>
            <w:tcW w:w="992" w:type="dxa"/>
            <w:gridSpan w:val="2"/>
            <w:tcBorders>
              <w:top w:val="single" w:sz="4" w:space="0" w:color="auto"/>
              <w:left w:val="single" w:sz="4" w:space="0" w:color="auto"/>
              <w:bottom w:val="single" w:sz="12" w:space="0" w:color="auto"/>
              <w:right w:val="single" w:sz="4" w:space="0" w:color="auto"/>
            </w:tcBorders>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286</w:t>
            </w:r>
          </w:p>
        </w:tc>
        <w:tc>
          <w:tcPr>
            <w:tcW w:w="992" w:type="dxa"/>
            <w:tcBorders>
              <w:top w:val="single" w:sz="8" w:space="0" w:color="auto"/>
              <w:left w:val="single" w:sz="4" w:space="0" w:color="auto"/>
              <w:bottom w:val="single" w:sz="12" w:space="0" w:color="auto"/>
              <w:right w:val="nil"/>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301</w:t>
            </w:r>
          </w:p>
        </w:tc>
        <w:tc>
          <w:tcPr>
            <w:tcW w:w="851" w:type="dxa"/>
            <w:tcBorders>
              <w:top w:val="single" w:sz="8" w:space="0" w:color="auto"/>
              <w:left w:val="single" w:sz="8" w:space="0" w:color="auto"/>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317</w:t>
            </w:r>
          </w:p>
        </w:tc>
      </w:tr>
      <w:tr w:rsidR="00B228B7" w:rsidRPr="00B228B7" w:rsidTr="006320FA">
        <w:trPr>
          <w:trHeight w:val="266"/>
        </w:trPr>
        <w:tc>
          <w:tcPr>
            <w:tcW w:w="1408" w:type="dxa"/>
            <w:tcBorders>
              <w:top w:val="single" w:sz="12" w:space="0" w:color="auto"/>
              <w:left w:val="single" w:sz="8" w:space="0" w:color="auto"/>
              <w:bottom w:val="single" w:sz="8"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color w:val="auto"/>
                <w:sz w:val="20"/>
                <w:szCs w:val="20"/>
                <w:lang w:eastAsia="es-ES"/>
              </w:rPr>
              <w:t>ex 0203 12 11</w:t>
            </w:r>
          </w:p>
        </w:tc>
        <w:tc>
          <w:tcPr>
            <w:tcW w:w="4404" w:type="dxa"/>
            <w:tcBorders>
              <w:top w:val="single" w:sz="12" w:space="0" w:color="auto"/>
              <w:left w:val="nil"/>
              <w:bottom w:val="single" w:sz="8"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b/>
                <w:bCs/>
                <w:color w:val="auto"/>
                <w:sz w:val="20"/>
                <w:szCs w:val="20"/>
                <w:lang w:eastAsia="es-ES"/>
              </w:rPr>
              <w:t>Categoría 2.</w:t>
            </w:r>
            <w:r w:rsidRPr="00B228B7">
              <w:rPr>
                <w:rFonts w:ascii="Arial" w:hAnsi="Arial" w:cs="Arial"/>
                <w:color w:val="auto"/>
                <w:sz w:val="20"/>
                <w:szCs w:val="20"/>
                <w:lang w:eastAsia="es-ES"/>
              </w:rPr>
              <w:t xml:space="preserve"> Jamones</w:t>
            </w:r>
          </w:p>
        </w:tc>
        <w:tc>
          <w:tcPr>
            <w:tcW w:w="851" w:type="dxa"/>
            <w:tcBorders>
              <w:top w:val="single" w:sz="12" w:space="0" w:color="auto"/>
              <w:left w:val="nil"/>
              <w:bottom w:val="single" w:sz="8" w:space="0" w:color="auto"/>
              <w:right w:val="single" w:sz="4"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326</w:t>
            </w:r>
          </w:p>
        </w:tc>
        <w:tc>
          <w:tcPr>
            <w:tcW w:w="992" w:type="dxa"/>
            <w:gridSpan w:val="2"/>
            <w:tcBorders>
              <w:top w:val="single" w:sz="12" w:space="0" w:color="auto"/>
              <w:left w:val="single" w:sz="4" w:space="0" w:color="auto"/>
              <w:bottom w:val="single" w:sz="8" w:space="0" w:color="auto"/>
              <w:right w:val="single" w:sz="4" w:space="0" w:color="auto"/>
            </w:tcBorders>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341</w:t>
            </w:r>
          </w:p>
        </w:tc>
        <w:tc>
          <w:tcPr>
            <w:tcW w:w="992" w:type="dxa"/>
            <w:tcBorders>
              <w:top w:val="single" w:sz="12" w:space="0" w:color="auto"/>
              <w:left w:val="single" w:sz="4" w:space="0" w:color="auto"/>
              <w:bottom w:val="single" w:sz="8" w:space="0" w:color="auto"/>
              <w:right w:val="nil"/>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357</w:t>
            </w:r>
          </w:p>
        </w:tc>
        <w:tc>
          <w:tcPr>
            <w:tcW w:w="851" w:type="dxa"/>
            <w:tcBorders>
              <w:top w:val="single" w:sz="12" w:space="0" w:color="auto"/>
              <w:left w:val="single" w:sz="8" w:space="0" w:color="auto"/>
              <w:bottom w:val="single" w:sz="8"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372</w:t>
            </w:r>
          </w:p>
        </w:tc>
      </w:tr>
      <w:tr w:rsidR="00B228B7" w:rsidRPr="00B228B7" w:rsidTr="006320FA">
        <w:trPr>
          <w:trHeight w:val="257"/>
        </w:trPr>
        <w:tc>
          <w:tcPr>
            <w:tcW w:w="1408" w:type="dxa"/>
            <w:tcBorders>
              <w:top w:val="nil"/>
              <w:left w:val="single" w:sz="8" w:space="0" w:color="auto"/>
              <w:bottom w:val="single" w:sz="8"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color w:val="auto"/>
                <w:sz w:val="20"/>
                <w:szCs w:val="20"/>
                <w:lang w:eastAsia="es-ES"/>
              </w:rPr>
              <w:t>ex 0203 12 19</w:t>
            </w:r>
          </w:p>
        </w:tc>
        <w:tc>
          <w:tcPr>
            <w:tcW w:w="4404" w:type="dxa"/>
            <w:tcBorders>
              <w:top w:val="nil"/>
              <w:left w:val="nil"/>
              <w:bottom w:val="single" w:sz="8"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b/>
                <w:bCs/>
                <w:color w:val="auto"/>
                <w:sz w:val="20"/>
                <w:szCs w:val="20"/>
                <w:lang w:eastAsia="es-ES"/>
              </w:rPr>
              <w:t>Categoría 2</w:t>
            </w:r>
            <w:r w:rsidRPr="00B228B7">
              <w:rPr>
                <w:rFonts w:ascii="Arial" w:hAnsi="Arial" w:cs="Arial"/>
                <w:color w:val="auto"/>
                <w:sz w:val="20"/>
                <w:szCs w:val="20"/>
                <w:lang w:eastAsia="es-ES"/>
              </w:rPr>
              <w:t>. Paletas</w:t>
            </w:r>
          </w:p>
        </w:tc>
        <w:tc>
          <w:tcPr>
            <w:tcW w:w="851" w:type="dxa"/>
            <w:tcBorders>
              <w:top w:val="nil"/>
              <w:left w:val="nil"/>
              <w:bottom w:val="single" w:sz="8" w:space="0" w:color="auto"/>
              <w:right w:val="single" w:sz="4" w:space="0" w:color="auto"/>
            </w:tcBorders>
            <w:shd w:val="clear" w:color="auto" w:fill="auto"/>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326</w:t>
            </w:r>
          </w:p>
        </w:tc>
        <w:tc>
          <w:tcPr>
            <w:tcW w:w="992" w:type="dxa"/>
            <w:gridSpan w:val="2"/>
            <w:tcBorders>
              <w:top w:val="single" w:sz="8" w:space="0" w:color="auto"/>
              <w:left w:val="single" w:sz="4" w:space="0" w:color="auto"/>
              <w:bottom w:val="single" w:sz="8" w:space="0" w:color="auto"/>
              <w:right w:val="single" w:sz="4" w:space="0" w:color="auto"/>
            </w:tcBorders>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341</w:t>
            </w:r>
          </w:p>
        </w:tc>
        <w:tc>
          <w:tcPr>
            <w:tcW w:w="992" w:type="dxa"/>
            <w:tcBorders>
              <w:top w:val="nil"/>
              <w:left w:val="single" w:sz="4" w:space="0" w:color="auto"/>
              <w:bottom w:val="single" w:sz="8" w:space="0" w:color="auto"/>
              <w:right w:val="nil"/>
            </w:tcBorders>
            <w:shd w:val="clear" w:color="auto" w:fill="auto"/>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357</w:t>
            </w:r>
          </w:p>
        </w:tc>
        <w:tc>
          <w:tcPr>
            <w:tcW w:w="851" w:type="dxa"/>
            <w:tcBorders>
              <w:top w:val="nil"/>
              <w:left w:val="single" w:sz="8" w:space="0" w:color="auto"/>
              <w:bottom w:val="single" w:sz="8" w:space="0" w:color="auto"/>
              <w:right w:val="single" w:sz="8" w:space="0" w:color="auto"/>
            </w:tcBorders>
            <w:shd w:val="clear" w:color="auto" w:fill="auto"/>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372</w:t>
            </w:r>
          </w:p>
        </w:tc>
      </w:tr>
      <w:tr w:rsidR="00B228B7" w:rsidRPr="00B228B7" w:rsidTr="006320FA">
        <w:trPr>
          <w:trHeight w:val="274"/>
        </w:trPr>
        <w:tc>
          <w:tcPr>
            <w:tcW w:w="1408" w:type="dxa"/>
            <w:tcBorders>
              <w:top w:val="nil"/>
              <w:left w:val="single" w:sz="8" w:space="0" w:color="auto"/>
              <w:bottom w:val="single" w:sz="8"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color w:val="auto"/>
                <w:sz w:val="20"/>
                <w:szCs w:val="20"/>
                <w:lang w:eastAsia="es-ES"/>
              </w:rPr>
              <w:t>ex 0203 19 11</w:t>
            </w:r>
          </w:p>
        </w:tc>
        <w:tc>
          <w:tcPr>
            <w:tcW w:w="4404" w:type="dxa"/>
            <w:tcBorders>
              <w:top w:val="nil"/>
              <w:left w:val="nil"/>
              <w:bottom w:val="single" w:sz="8"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b/>
                <w:bCs/>
                <w:color w:val="auto"/>
                <w:sz w:val="20"/>
                <w:szCs w:val="20"/>
                <w:lang w:eastAsia="es-ES"/>
              </w:rPr>
              <w:t>Categoría 2.</w:t>
            </w:r>
            <w:r w:rsidRPr="00B228B7">
              <w:rPr>
                <w:rFonts w:ascii="Arial" w:hAnsi="Arial" w:cs="Arial"/>
                <w:color w:val="auto"/>
                <w:sz w:val="20"/>
                <w:szCs w:val="20"/>
                <w:lang w:eastAsia="es-ES"/>
              </w:rPr>
              <w:t xml:space="preserve"> Partes delanteras</w:t>
            </w:r>
          </w:p>
        </w:tc>
        <w:tc>
          <w:tcPr>
            <w:tcW w:w="851" w:type="dxa"/>
            <w:tcBorders>
              <w:top w:val="nil"/>
              <w:left w:val="nil"/>
              <w:bottom w:val="single" w:sz="8" w:space="0" w:color="auto"/>
              <w:right w:val="single" w:sz="4" w:space="0" w:color="auto"/>
            </w:tcBorders>
            <w:shd w:val="clear" w:color="auto" w:fill="auto"/>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326</w:t>
            </w:r>
          </w:p>
        </w:tc>
        <w:tc>
          <w:tcPr>
            <w:tcW w:w="992" w:type="dxa"/>
            <w:gridSpan w:val="2"/>
            <w:tcBorders>
              <w:top w:val="single" w:sz="8" w:space="0" w:color="auto"/>
              <w:left w:val="single" w:sz="4" w:space="0" w:color="auto"/>
              <w:bottom w:val="single" w:sz="8" w:space="0" w:color="auto"/>
              <w:right w:val="single" w:sz="4" w:space="0" w:color="auto"/>
            </w:tcBorders>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341</w:t>
            </w:r>
          </w:p>
        </w:tc>
        <w:tc>
          <w:tcPr>
            <w:tcW w:w="992" w:type="dxa"/>
            <w:tcBorders>
              <w:top w:val="nil"/>
              <w:left w:val="single" w:sz="4" w:space="0" w:color="auto"/>
              <w:bottom w:val="single" w:sz="8" w:space="0" w:color="auto"/>
              <w:right w:val="nil"/>
            </w:tcBorders>
            <w:shd w:val="clear" w:color="auto" w:fill="auto"/>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357</w:t>
            </w:r>
          </w:p>
        </w:tc>
        <w:tc>
          <w:tcPr>
            <w:tcW w:w="851" w:type="dxa"/>
            <w:tcBorders>
              <w:top w:val="nil"/>
              <w:left w:val="single" w:sz="8" w:space="0" w:color="auto"/>
              <w:bottom w:val="single" w:sz="8" w:space="0" w:color="auto"/>
              <w:right w:val="single" w:sz="8" w:space="0" w:color="auto"/>
            </w:tcBorders>
            <w:shd w:val="clear" w:color="auto" w:fill="auto"/>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372</w:t>
            </w:r>
          </w:p>
        </w:tc>
      </w:tr>
      <w:tr w:rsidR="00B228B7" w:rsidRPr="00B228B7" w:rsidTr="006320FA">
        <w:trPr>
          <w:trHeight w:val="251"/>
        </w:trPr>
        <w:tc>
          <w:tcPr>
            <w:tcW w:w="1408" w:type="dxa"/>
            <w:tcBorders>
              <w:top w:val="single" w:sz="8" w:space="0" w:color="auto"/>
              <w:left w:val="single" w:sz="8" w:space="0" w:color="auto"/>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color w:val="auto"/>
                <w:sz w:val="20"/>
                <w:szCs w:val="20"/>
                <w:lang w:eastAsia="es-ES"/>
              </w:rPr>
              <w:t>ex 0203 19 13</w:t>
            </w:r>
          </w:p>
        </w:tc>
        <w:tc>
          <w:tcPr>
            <w:tcW w:w="4404" w:type="dxa"/>
            <w:tcBorders>
              <w:top w:val="single" w:sz="8" w:space="0" w:color="auto"/>
              <w:left w:val="nil"/>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b/>
                <w:bCs/>
                <w:color w:val="auto"/>
                <w:sz w:val="20"/>
                <w:szCs w:val="20"/>
                <w:lang w:eastAsia="es-ES"/>
              </w:rPr>
              <w:t>Categoría 2.</w:t>
            </w:r>
            <w:r w:rsidRPr="00B228B7">
              <w:rPr>
                <w:rFonts w:ascii="Arial" w:hAnsi="Arial" w:cs="Arial"/>
                <w:color w:val="auto"/>
                <w:sz w:val="20"/>
                <w:szCs w:val="20"/>
                <w:lang w:eastAsia="es-ES"/>
              </w:rPr>
              <w:t xml:space="preserve"> Chuleteros, con o sin aguja, o agujas solas, chuleteros con o sin cadera (2) (3)</w:t>
            </w:r>
          </w:p>
        </w:tc>
        <w:tc>
          <w:tcPr>
            <w:tcW w:w="851" w:type="dxa"/>
            <w:tcBorders>
              <w:top w:val="single" w:sz="8" w:space="0" w:color="auto"/>
              <w:left w:val="nil"/>
              <w:bottom w:val="single" w:sz="12" w:space="0" w:color="auto"/>
              <w:right w:val="single" w:sz="4" w:space="0" w:color="auto"/>
            </w:tcBorders>
            <w:shd w:val="clear" w:color="auto" w:fill="auto"/>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326</w:t>
            </w:r>
          </w:p>
        </w:tc>
        <w:tc>
          <w:tcPr>
            <w:tcW w:w="992" w:type="dxa"/>
            <w:gridSpan w:val="2"/>
            <w:tcBorders>
              <w:top w:val="single" w:sz="8" w:space="0" w:color="auto"/>
              <w:left w:val="single" w:sz="4" w:space="0" w:color="auto"/>
              <w:bottom w:val="single" w:sz="12" w:space="0" w:color="auto"/>
              <w:right w:val="single" w:sz="4" w:space="0" w:color="auto"/>
            </w:tcBorders>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341</w:t>
            </w:r>
          </w:p>
        </w:tc>
        <w:tc>
          <w:tcPr>
            <w:tcW w:w="992" w:type="dxa"/>
            <w:tcBorders>
              <w:top w:val="single" w:sz="8" w:space="0" w:color="auto"/>
              <w:left w:val="single" w:sz="4" w:space="0" w:color="auto"/>
              <w:bottom w:val="single" w:sz="12" w:space="0" w:color="auto"/>
              <w:right w:val="nil"/>
            </w:tcBorders>
            <w:shd w:val="clear" w:color="auto" w:fill="auto"/>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357</w:t>
            </w:r>
          </w:p>
        </w:tc>
        <w:tc>
          <w:tcPr>
            <w:tcW w:w="851" w:type="dxa"/>
            <w:tcBorders>
              <w:top w:val="single" w:sz="8" w:space="0" w:color="auto"/>
              <w:left w:val="single" w:sz="8" w:space="0" w:color="auto"/>
              <w:bottom w:val="single" w:sz="12" w:space="0" w:color="auto"/>
              <w:right w:val="single" w:sz="8" w:space="0" w:color="auto"/>
            </w:tcBorders>
            <w:shd w:val="clear" w:color="auto" w:fill="auto"/>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372</w:t>
            </w:r>
          </w:p>
        </w:tc>
      </w:tr>
      <w:tr w:rsidR="00B228B7" w:rsidRPr="00B228B7" w:rsidTr="006320FA">
        <w:trPr>
          <w:trHeight w:val="351"/>
        </w:trPr>
        <w:tc>
          <w:tcPr>
            <w:tcW w:w="1408" w:type="dxa"/>
            <w:tcBorders>
              <w:top w:val="single" w:sz="12" w:space="0" w:color="auto"/>
              <w:left w:val="single" w:sz="8" w:space="0" w:color="auto"/>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color w:val="auto"/>
                <w:sz w:val="20"/>
                <w:szCs w:val="20"/>
                <w:lang w:eastAsia="es-ES"/>
              </w:rPr>
              <w:t>ex 0203 19 55</w:t>
            </w:r>
          </w:p>
        </w:tc>
        <w:tc>
          <w:tcPr>
            <w:tcW w:w="4404" w:type="dxa"/>
            <w:tcBorders>
              <w:top w:val="single" w:sz="12" w:space="0" w:color="auto"/>
              <w:left w:val="nil"/>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b/>
                <w:bCs/>
                <w:color w:val="auto"/>
                <w:sz w:val="20"/>
                <w:szCs w:val="20"/>
                <w:lang w:eastAsia="es-ES"/>
              </w:rPr>
              <w:t>Categoría 3.</w:t>
            </w:r>
            <w:r w:rsidRPr="00B228B7">
              <w:rPr>
                <w:rFonts w:ascii="Arial" w:hAnsi="Arial" w:cs="Arial"/>
                <w:color w:val="auto"/>
                <w:sz w:val="20"/>
                <w:szCs w:val="20"/>
                <w:lang w:eastAsia="es-ES"/>
              </w:rPr>
              <w:t xml:space="preserve"> Jamones, paletas, partes delanteras, chuleteros con o sin aguja o agujas solas, chuleteros con o sin cadera deshuesados (4) (5)</w:t>
            </w:r>
          </w:p>
        </w:tc>
        <w:tc>
          <w:tcPr>
            <w:tcW w:w="851" w:type="dxa"/>
            <w:tcBorders>
              <w:top w:val="single" w:sz="12" w:space="0" w:color="auto"/>
              <w:left w:val="nil"/>
              <w:bottom w:val="single" w:sz="12" w:space="0" w:color="auto"/>
              <w:right w:val="single" w:sz="4"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377</w:t>
            </w:r>
          </w:p>
        </w:tc>
        <w:tc>
          <w:tcPr>
            <w:tcW w:w="992" w:type="dxa"/>
            <w:gridSpan w:val="2"/>
            <w:tcBorders>
              <w:top w:val="single" w:sz="12" w:space="0" w:color="auto"/>
              <w:left w:val="single" w:sz="4" w:space="0" w:color="auto"/>
              <w:bottom w:val="single" w:sz="12" w:space="0" w:color="auto"/>
              <w:right w:val="single" w:sz="4" w:space="0" w:color="auto"/>
            </w:tcBorders>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392</w:t>
            </w:r>
          </w:p>
        </w:tc>
        <w:tc>
          <w:tcPr>
            <w:tcW w:w="992" w:type="dxa"/>
            <w:tcBorders>
              <w:top w:val="single" w:sz="12" w:space="0" w:color="auto"/>
              <w:left w:val="single" w:sz="4" w:space="0" w:color="auto"/>
              <w:bottom w:val="single" w:sz="12" w:space="0" w:color="auto"/>
              <w:right w:val="nil"/>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407</w:t>
            </w:r>
          </w:p>
        </w:tc>
        <w:tc>
          <w:tcPr>
            <w:tcW w:w="851" w:type="dxa"/>
            <w:tcBorders>
              <w:top w:val="single" w:sz="12" w:space="0" w:color="auto"/>
              <w:left w:val="single" w:sz="8" w:space="0" w:color="auto"/>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423</w:t>
            </w:r>
          </w:p>
        </w:tc>
      </w:tr>
      <w:tr w:rsidR="00B228B7" w:rsidRPr="00B228B7" w:rsidTr="006320FA">
        <w:trPr>
          <w:trHeight w:val="260"/>
        </w:trPr>
        <w:tc>
          <w:tcPr>
            <w:tcW w:w="1408" w:type="dxa"/>
            <w:tcBorders>
              <w:top w:val="single" w:sz="12" w:space="0" w:color="auto"/>
              <w:left w:val="single" w:sz="8" w:space="0" w:color="auto"/>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color w:val="auto"/>
                <w:sz w:val="20"/>
                <w:szCs w:val="20"/>
                <w:lang w:eastAsia="es-ES"/>
              </w:rPr>
              <w:t>ex 0203 19 15</w:t>
            </w:r>
          </w:p>
        </w:tc>
        <w:tc>
          <w:tcPr>
            <w:tcW w:w="4404" w:type="dxa"/>
            <w:tcBorders>
              <w:top w:val="single" w:sz="12" w:space="0" w:color="auto"/>
              <w:left w:val="nil"/>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b/>
                <w:bCs/>
                <w:color w:val="auto"/>
                <w:sz w:val="20"/>
                <w:szCs w:val="20"/>
                <w:lang w:eastAsia="es-ES"/>
              </w:rPr>
              <w:t>Categoría 4.</w:t>
            </w:r>
            <w:r w:rsidRPr="00B228B7">
              <w:rPr>
                <w:rFonts w:ascii="Arial" w:hAnsi="Arial" w:cs="Arial"/>
                <w:color w:val="auto"/>
                <w:sz w:val="20"/>
                <w:szCs w:val="20"/>
                <w:lang w:eastAsia="es-ES"/>
              </w:rPr>
              <w:t xml:space="preserve"> Panceta entera o cortada en forma rectangular</w:t>
            </w:r>
          </w:p>
        </w:tc>
        <w:tc>
          <w:tcPr>
            <w:tcW w:w="851" w:type="dxa"/>
            <w:tcBorders>
              <w:top w:val="single" w:sz="12" w:space="0" w:color="auto"/>
              <w:left w:val="nil"/>
              <w:bottom w:val="single" w:sz="12" w:space="0" w:color="auto"/>
              <w:right w:val="single" w:sz="4"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282</w:t>
            </w:r>
          </w:p>
        </w:tc>
        <w:tc>
          <w:tcPr>
            <w:tcW w:w="992" w:type="dxa"/>
            <w:gridSpan w:val="2"/>
            <w:tcBorders>
              <w:top w:val="single" w:sz="12" w:space="0" w:color="auto"/>
              <w:left w:val="single" w:sz="4" w:space="0" w:color="auto"/>
              <w:bottom w:val="single" w:sz="12" w:space="0" w:color="auto"/>
              <w:right w:val="single" w:sz="4" w:space="0" w:color="auto"/>
            </w:tcBorders>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297</w:t>
            </w:r>
          </w:p>
        </w:tc>
        <w:tc>
          <w:tcPr>
            <w:tcW w:w="992" w:type="dxa"/>
            <w:tcBorders>
              <w:top w:val="single" w:sz="12" w:space="0" w:color="auto"/>
              <w:left w:val="single" w:sz="4" w:space="0" w:color="auto"/>
              <w:bottom w:val="single" w:sz="12" w:space="0" w:color="auto"/>
              <w:right w:val="nil"/>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313</w:t>
            </w:r>
          </w:p>
        </w:tc>
        <w:tc>
          <w:tcPr>
            <w:tcW w:w="851" w:type="dxa"/>
            <w:tcBorders>
              <w:top w:val="single" w:sz="12" w:space="0" w:color="auto"/>
              <w:left w:val="single" w:sz="8" w:space="0" w:color="auto"/>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327</w:t>
            </w:r>
          </w:p>
        </w:tc>
      </w:tr>
      <w:tr w:rsidR="00B228B7" w:rsidRPr="00B228B7" w:rsidTr="006320FA">
        <w:trPr>
          <w:trHeight w:val="264"/>
        </w:trPr>
        <w:tc>
          <w:tcPr>
            <w:tcW w:w="1408" w:type="dxa"/>
            <w:tcBorders>
              <w:top w:val="single" w:sz="12" w:space="0" w:color="auto"/>
              <w:left w:val="single" w:sz="8" w:space="0" w:color="auto"/>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color w:val="auto"/>
                <w:sz w:val="20"/>
                <w:szCs w:val="20"/>
                <w:lang w:eastAsia="es-ES"/>
              </w:rPr>
              <w:t>ex 0203 19 55</w:t>
            </w:r>
          </w:p>
        </w:tc>
        <w:tc>
          <w:tcPr>
            <w:tcW w:w="4404" w:type="dxa"/>
            <w:tcBorders>
              <w:top w:val="single" w:sz="12" w:space="0" w:color="auto"/>
              <w:left w:val="nil"/>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b/>
                <w:bCs/>
                <w:color w:val="auto"/>
                <w:sz w:val="20"/>
                <w:szCs w:val="20"/>
                <w:lang w:eastAsia="es-ES"/>
              </w:rPr>
              <w:t>Categoría 5.</w:t>
            </w:r>
            <w:r w:rsidRPr="00B228B7">
              <w:rPr>
                <w:rFonts w:ascii="Arial" w:hAnsi="Arial" w:cs="Arial"/>
                <w:color w:val="auto"/>
                <w:sz w:val="20"/>
                <w:szCs w:val="20"/>
                <w:lang w:eastAsia="es-ES"/>
              </w:rPr>
              <w:t xml:space="preserve"> Panceta entera o cortada en forma rectangular, sin la corteza ni las costillas</w:t>
            </w:r>
          </w:p>
        </w:tc>
        <w:tc>
          <w:tcPr>
            <w:tcW w:w="851" w:type="dxa"/>
            <w:tcBorders>
              <w:top w:val="single" w:sz="12" w:space="0" w:color="auto"/>
              <w:left w:val="nil"/>
              <w:bottom w:val="single" w:sz="12" w:space="0" w:color="auto"/>
              <w:right w:val="single" w:sz="4"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348</w:t>
            </w:r>
          </w:p>
        </w:tc>
        <w:tc>
          <w:tcPr>
            <w:tcW w:w="992" w:type="dxa"/>
            <w:gridSpan w:val="2"/>
            <w:tcBorders>
              <w:top w:val="single" w:sz="12" w:space="0" w:color="auto"/>
              <w:left w:val="single" w:sz="4" w:space="0" w:color="auto"/>
              <w:bottom w:val="single" w:sz="12" w:space="0" w:color="auto"/>
              <w:right w:val="single" w:sz="4" w:space="0" w:color="auto"/>
            </w:tcBorders>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361</w:t>
            </w:r>
          </w:p>
        </w:tc>
        <w:tc>
          <w:tcPr>
            <w:tcW w:w="992" w:type="dxa"/>
            <w:tcBorders>
              <w:top w:val="single" w:sz="12" w:space="0" w:color="auto"/>
              <w:left w:val="single" w:sz="4" w:space="0" w:color="auto"/>
              <w:bottom w:val="single" w:sz="12" w:space="0" w:color="auto"/>
              <w:right w:val="nil"/>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375</w:t>
            </w:r>
          </w:p>
        </w:tc>
        <w:tc>
          <w:tcPr>
            <w:tcW w:w="851" w:type="dxa"/>
            <w:tcBorders>
              <w:top w:val="single" w:sz="12" w:space="0" w:color="auto"/>
              <w:left w:val="single" w:sz="8" w:space="0" w:color="auto"/>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389</w:t>
            </w:r>
          </w:p>
        </w:tc>
      </w:tr>
      <w:tr w:rsidR="00B228B7" w:rsidRPr="00B228B7" w:rsidTr="006320FA">
        <w:trPr>
          <w:trHeight w:val="254"/>
        </w:trPr>
        <w:tc>
          <w:tcPr>
            <w:tcW w:w="1408" w:type="dxa"/>
            <w:tcBorders>
              <w:top w:val="single" w:sz="12" w:space="0" w:color="auto"/>
              <w:left w:val="single" w:sz="8" w:space="0" w:color="auto"/>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color w:val="auto"/>
                <w:sz w:val="20"/>
                <w:szCs w:val="20"/>
                <w:lang w:eastAsia="es-ES"/>
              </w:rPr>
              <w:t>ex 0203 19 55</w:t>
            </w:r>
          </w:p>
        </w:tc>
        <w:tc>
          <w:tcPr>
            <w:tcW w:w="4404" w:type="dxa"/>
            <w:tcBorders>
              <w:top w:val="single" w:sz="12" w:space="0" w:color="auto"/>
              <w:left w:val="nil"/>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b/>
                <w:bCs/>
                <w:color w:val="auto"/>
                <w:sz w:val="20"/>
                <w:szCs w:val="20"/>
                <w:lang w:eastAsia="es-ES"/>
              </w:rPr>
              <w:t>Categoría 6</w:t>
            </w:r>
            <w:r w:rsidRPr="00B228B7">
              <w:rPr>
                <w:rFonts w:ascii="Arial" w:hAnsi="Arial" w:cs="Arial"/>
                <w:color w:val="auto"/>
                <w:sz w:val="20"/>
                <w:szCs w:val="20"/>
                <w:lang w:eastAsia="es-ES"/>
              </w:rPr>
              <w:t>. Trozos de despiece correspondientes a los "centros", con o sin la corteza o tocino deshuesados (6)</w:t>
            </w:r>
          </w:p>
        </w:tc>
        <w:tc>
          <w:tcPr>
            <w:tcW w:w="851" w:type="dxa"/>
            <w:tcBorders>
              <w:top w:val="single" w:sz="12" w:space="0" w:color="auto"/>
              <w:left w:val="nil"/>
              <w:bottom w:val="single" w:sz="12" w:space="0" w:color="auto"/>
              <w:right w:val="single" w:sz="4"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279</w:t>
            </w:r>
          </w:p>
        </w:tc>
        <w:tc>
          <w:tcPr>
            <w:tcW w:w="992" w:type="dxa"/>
            <w:gridSpan w:val="2"/>
            <w:tcBorders>
              <w:top w:val="single" w:sz="12" w:space="0" w:color="auto"/>
              <w:left w:val="single" w:sz="4" w:space="0" w:color="auto"/>
              <w:bottom w:val="single" w:sz="12" w:space="0" w:color="auto"/>
              <w:right w:val="single" w:sz="4" w:space="0" w:color="auto"/>
            </w:tcBorders>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293</w:t>
            </w:r>
          </w:p>
        </w:tc>
        <w:tc>
          <w:tcPr>
            <w:tcW w:w="992" w:type="dxa"/>
            <w:tcBorders>
              <w:top w:val="single" w:sz="12" w:space="0" w:color="auto"/>
              <w:left w:val="single" w:sz="4" w:space="0" w:color="auto"/>
              <w:bottom w:val="single" w:sz="12" w:space="0" w:color="auto"/>
              <w:right w:val="nil"/>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306</w:t>
            </w:r>
          </w:p>
        </w:tc>
        <w:tc>
          <w:tcPr>
            <w:tcW w:w="851" w:type="dxa"/>
            <w:tcBorders>
              <w:top w:val="single" w:sz="12" w:space="0" w:color="auto"/>
              <w:left w:val="single" w:sz="8" w:space="0" w:color="auto"/>
              <w:bottom w:val="single" w:sz="12"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320</w:t>
            </w:r>
          </w:p>
        </w:tc>
      </w:tr>
      <w:tr w:rsidR="00B228B7" w:rsidRPr="00B228B7" w:rsidTr="006320FA">
        <w:trPr>
          <w:trHeight w:val="280"/>
        </w:trPr>
        <w:tc>
          <w:tcPr>
            <w:tcW w:w="1408" w:type="dxa"/>
            <w:tcBorders>
              <w:top w:val="single" w:sz="12" w:space="0" w:color="auto"/>
              <w:left w:val="single" w:sz="8" w:space="0" w:color="auto"/>
              <w:bottom w:val="single" w:sz="8"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color w:val="auto"/>
                <w:sz w:val="20"/>
                <w:szCs w:val="20"/>
                <w:lang w:eastAsia="es-ES"/>
              </w:rPr>
              <w:t>ex 0209 10 11</w:t>
            </w:r>
          </w:p>
        </w:tc>
        <w:tc>
          <w:tcPr>
            <w:tcW w:w="4404" w:type="dxa"/>
            <w:tcBorders>
              <w:top w:val="single" w:sz="12" w:space="0" w:color="auto"/>
              <w:left w:val="nil"/>
              <w:bottom w:val="single" w:sz="8"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after="0"/>
              <w:ind w:firstLine="0"/>
              <w:jc w:val="left"/>
              <w:rPr>
                <w:rFonts w:ascii="Arial" w:hAnsi="Arial" w:cs="Arial"/>
                <w:color w:val="auto"/>
                <w:sz w:val="20"/>
                <w:szCs w:val="20"/>
                <w:lang w:eastAsia="es-ES"/>
              </w:rPr>
            </w:pPr>
            <w:r w:rsidRPr="00B228B7">
              <w:rPr>
                <w:rFonts w:ascii="Arial" w:hAnsi="Arial" w:cs="Arial"/>
                <w:b/>
                <w:bCs/>
                <w:color w:val="auto"/>
                <w:sz w:val="20"/>
                <w:szCs w:val="20"/>
                <w:lang w:eastAsia="es-ES"/>
              </w:rPr>
              <w:t>Categoría 7</w:t>
            </w:r>
            <w:r w:rsidRPr="00B228B7">
              <w:rPr>
                <w:rFonts w:ascii="Arial" w:hAnsi="Arial" w:cs="Arial"/>
                <w:color w:val="auto"/>
                <w:sz w:val="20"/>
                <w:szCs w:val="20"/>
                <w:lang w:eastAsia="es-ES"/>
              </w:rPr>
              <w:t>. Tocino de cerdo (solo grasa), con o sin la corteza (7)</w:t>
            </w:r>
          </w:p>
        </w:tc>
        <w:tc>
          <w:tcPr>
            <w:tcW w:w="851" w:type="dxa"/>
            <w:tcBorders>
              <w:top w:val="single" w:sz="12" w:space="0" w:color="auto"/>
              <w:left w:val="nil"/>
              <w:bottom w:val="single" w:sz="8" w:space="0" w:color="auto"/>
              <w:right w:val="single" w:sz="4"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157</w:t>
            </w:r>
          </w:p>
        </w:tc>
        <w:tc>
          <w:tcPr>
            <w:tcW w:w="992" w:type="dxa"/>
            <w:gridSpan w:val="2"/>
            <w:tcBorders>
              <w:top w:val="single" w:sz="12" w:space="0" w:color="auto"/>
              <w:left w:val="single" w:sz="4" w:space="0" w:color="auto"/>
              <w:bottom w:val="single" w:sz="4" w:space="0" w:color="auto"/>
              <w:right w:val="single" w:sz="4" w:space="0" w:color="auto"/>
            </w:tcBorders>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168</w:t>
            </w:r>
          </w:p>
        </w:tc>
        <w:tc>
          <w:tcPr>
            <w:tcW w:w="992" w:type="dxa"/>
            <w:tcBorders>
              <w:top w:val="single" w:sz="12" w:space="0" w:color="auto"/>
              <w:left w:val="single" w:sz="4" w:space="0" w:color="auto"/>
              <w:bottom w:val="single" w:sz="8" w:space="0" w:color="auto"/>
              <w:right w:val="nil"/>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180</w:t>
            </w:r>
          </w:p>
        </w:tc>
        <w:tc>
          <w:tcPr>
            <w:tcW w:w="851" w:type="dxa"/>
            <w:tcBorders>
              <w:top w:val="single" w:sz="12" w:space="0" w:color="auto"/>
              <w:left w:val="single" w:sz="8" w:space="0" w:color="auto"/>
              <w:bottom w:val="single" w:sz="8" w:space="0" w:color="auto"/>
              <w:right w:val="single" w:sz="8" w:space="0" w:color="auto"/>
            </w:tcBorders>
            <w:shd w:val="clear" w:color="auto" w:fill="auto"/>
            <w:vAlign w:val="center"/>
            <w:hideMark/>
          </w:tcPr>
          <w:p w:rsidR="00624B5C" w:rsidRPr="00B228B7" w:rsidRDefault="00624B5C" w:rsidP="00624B5C">
            <w:pPr>
              <w:shd w:val="clear" w:color="auto" w:fill="auto"/>
              <w:suppressAutoHyphens w:val="0"/>
              <w:spacing w:before="120" w:after="0"/>
              <w:ind w:firstLine="0"/>
              <w:jc w:val="center"/>
              <w:rPr>
                <w:rFonts w:ascii="Arial" w:hAnsi="Arial" w:cs="Arial"/>
                <w:color w:val="auto"/>
                <w:sz w:val="20"/>
                <w:szCs w:val="20"/>
                <w:lang w:eastAsia="es-ES"/>
              </w:rPr>
            </w:pPr>
            <w:r w:rsidRPr="00B228B7">
              <w:rPr>
                <w:rFonts w:ascii="Arial" w:hAnsi="Arial" w:cs="Arial"/>
                <w:color w:val="auto"/>
                <w:sz w:val="20"/>
                <w:szCs w:val="20"/>
                <w:lang w:eastAsia="es-ES"/>
              </w:rPr>
              <w:t>190</w:t>
            </w:r>
          </w:p>
        </w:tc>
      </w:tr>
    </w:tbl>
    <w:p w:rsidR="00624B5C" w:rsidRPr="00B228B7" w:rsidRDefault="00624B5C" w:rsidP="00624B5C">
      <w:pPr>
        <w:shd w:val="clear" w:color="auto" w:fill="auto"/>
        <w:suppressAutoHyphens w:val="0"/>
        <w:spacing w:before="120" w:after="120"/>
        <w:ind w:firstLine="0"/>
        <w:rPr>
          <w:rFonts w:ascii="Arial" w:eastAsia="Calibri" w:hAnsi="Arial"/>
          <w:color w:val="auto"/>
          <w:sz w:val="20"/>
          <w:szCs w:val="20"/>
          <w:lang w:eastAsia="es-ES"/>
        </w:rPr>
      </w:pPr>
      <w:r w:rsidRPr="00B228B7">
        <w:rPr>
          <w:rFonts w:ascii="Arial" w:eastAsia="Calibri" w:hAnsi="Arial"/>
          <w:color w:val="auto"/>
          <w:sz w:val="20"/>
          <w:szCs w:val="20"/>
          <w:lang w:eastAsia="es-ES"/>
        </w:rPr>
        <w:t>(1)</w:t>
      </w:r>
      <w:r w:rsidRPr="00B228B7">
        <w:rPr>
          <w:rFonts w:ascii="Arial" w:eastAsia="Calibri" w:hAnsi="Arial"/>
          <w:color w:val="auto"/>
          <w:sz w:val="20"/>
          <w:szCs w:val="20"/>
          <w:lang w:eastAsia="es-ES"/>
        </w:rPr>
        <w:tab/>
        <w:t>También podrán beneficiarse de la ayuda las medias canales presentadas con el corte “Wiltshire”, es decir, sin cabeza, carrillada, papada, patas, rabo, manteca, riñón, lomo omoplato columna vertebral, hueso iliaco ni diafragma.</w:t>
      </w:r>
    </w:p>
    <w:p w:rsidR="00624B5C" w:rsidRPr="00B228B7" w:rsidRDefault="00624B5C" w:rsidP="00624B5C">
      <w:pPr>
        <w:shd w:val="clear" w:color="auto" w:fill="auto"/>
        <w:suppressAutoHyphens w:val="0"/>
        <w:spacing w:before="120" w:after="120"/>
        <w:ind w:firstLine="0"/>
        <w:rPr>
          <w:rFonts w:ascii="Arial" w:eastAsia="Calibri" w:hAnsi="Arial"/>
          <w:color w:val="auto"/>
          <w:sz w:val="20"/>
          <w:szCs w:val="20"/>
          <w:lang w:eastAsia="es-ES"/>
        </w:rPr>
      </w:pPr>
      <w:r w:rsidRPr="00B228B7">
        <w:rPr>
          <w:rFonts w:ascii="Arial" w:eastAsia="Calibri" w:hAnsi="Arial"/>
          <w:color w:val="auto"/>
          <w:sz w:val="20"/>
          <w:szCs w:val="20"/>
          <w:lang w:eastAsia="es-ES"/>
        </w:rPr>
        <w:t>(2)</w:t>
      </w:r>
      <w:r w:rsidRPr="00B228B7">
        <w:rPr>
          <w:rFonts w:ascii="Arial" w:eastAsia="Calibri" w:hAnsi="Arial"/>
          <w:color w:val="auto"/>
          <w:sz w:val="20"/>
          <w:szCs w:val="20"/>
          <w:lang w:eastAsia="es-ES"/>
        </w:rPr>
        <w:tab/>
        <w:t>Los chuleteros y las agujas se entenderán con o sin corteza, si bien el tocino unido a ellos no deberá tener más de 25 milímetros de grosor.</w:t>
      </w:r>
    </w:p>
    <w:p w:rsidR="00624B5C" w:rsidRPr="00B228B7" w:rsidRDefault="00624B5C" w:rsidP="00624B5C">
      <w:pPr>
        <w:shd w:val="clear" w:color="auto" w:fill="auto"/>
        <w:suppressAutoHyphens w:val="0"/>
        <w:spacing w:before="120" w:after="120"/>
        <w:ind w:firstLine="0"/>
        <w:rPr>
          <w:rFonts w:ascii="Arial" w:eastAsia="Calibri" w:hAnsi="Arial"/>
          <w:color w:val="auto"/>
          <w:sz w:val="20"/>
          <w:szCs w:val="20"/>
          <w:lang w:eastAsia="es-ES"/>
        </w:rPr>
      </w:pPr>
      <w:r w:rsidRPr="00B228B7">
        <w:rPr>
          <w:rFonts w:ascii="Arial" w:eastAsia="Calibri" w:hAnsi="Arial"/>
          <w:color w:val="auto"/>
          <w:sz w:val="20"/>
          <w:szCs w:val="20"/>
          <w:lang w:eastAsia="es-ES"/>
        </w:rPr>
        <w:t>(3)</w:t>
      </w:r>
      <w:r w:rsidRPr="00B228B7">
        <w:rPr>
          <w:rFonts w:ascii="Arial" w:eastAsia="Calibri" w:hAnsi="Arial"/>
          <w:color w:val="auto"/>
          <w:sz w:val="20"/>
          <w:szCs w:val="20"/>
          <w:lang w:eastAsia="es-ES"/>
        </w:rPr>
        <w:tab/>
        <w:t>La cantidad contractual podrá cubrir todas las combinaciones posibles de los productos mencionados.</w:t>
      </w:r>
    </w:p>
    <w:p w:rsidR="00624B5C" w:rsidRPr="00B228B7" w:rsidRDefault="00624B5C" w:rsidP="00624B5C">
      <w:pPr>
        <w:shd w:val="clear" w:color="auto" w:fill="auto"/>
        <w:suppressAutoHyphens w:val="0"/>
        <w:spacing w:before="120" w:after="120"/>
        <w:ind w:firstLine="0"/>
        <w:rPr>
          <w:rFonts w:ascii="Arial" w:eastAsia="Calibri" w:hAnsi="Arial"/>
          <w:color w:val="auto"/>
          <w:sz w:val="20"/>
          <w:szCs w:val="20"/>
          <w:lang w:eastAsia="es-ES"/>
        </w:rPr>
      </w:pPr>
      <w:r w:rsidRPr="00B228B7">
        <w:rPr>
          <w:rFonts w:ascii="Arial" w:eastAsia="Calibri" w:hAnsi="Arial"/>
          <w:color w:val="auto"/>
          <w:sz w:val="20"/>
          <w:szCs w:val="20"/>
          <w:lang w:eastAsia="es-ES"/>
        </w:rPr>
        <w:t>(4)</w:t>
      </w:r>
      <w:r w:rsidRPr="00B228B7">
        <w:rPr>
          <w:rFonts w:ascii="Arial" w:eastAsia="Calibri" w:hAnsi="Arial"/>
          <w:color w:val="auto"/>
          <w:sz w:val="20"/>
          <w:szCs w:val="20"/>
          <w:lang w:eastAsia="es-ES"/>
        </w:rPr>
        <w:tab/>
        <w:t>Los chuleteros y las agujas se entenderán con o sin corteza, si bien el tocino unido a ellos no deberá tener más de 25 milímetros de grosor.</w:t>
      </w:r>
    </w:p>
    <w:p w:rsidR="00624B5C" w:rsidRPr="00B228B7" w:rsidRDefault="00624B5C" w:rsidP="00624B5C">
      <w:pPr>
        <w:shd w:val="clear" w:color="auto" w:fill="auto"/>
        <w:suppressAutoHyphens w:val="0"/>
        <w:spacing w:before="120" w:after="120"/>
        <w:ind w:left="705" w:hanging="705"/>
        <w:rPr>
          <w:rFonts w:ascii="Arial" w:eastAsia="Calibri" w:hAnsi="Arial"/>
          <w:color w:val="auto"/>
          <w:sz w:val="20"/>
          <w:szCs w:val="20"/>
          <w:lang w:eastAsia="es-ES"/>
        </w:rPr>
      </w:pPr>
      <w:r w:rsidRPr="00B228B7">
        <w:rPr>
          <w:rFonts w:ascii="Arial" w:eastAsia="Calibri" w:hAnsi="Arial"/>
          <w:color w:val="auto"/>
          <w:sz w:val="20"/>
          <w:szCs w:val="20"/>
          <w:lang w:eastAsia="es-ES"/>
        </w:rPr>
        <w:t>(5)</w:t>
      </w:r>
      <w:r w:rsidRPr="00B228B7">
        <w:rPr>
          <w:rFonts w:ascii="Arial" w:eastAsia="Calibri" w:hAnsi="Arial"/>
          <w:color w:val="auto"/>
          <w:sz w:val="20"/>
          <w:szCs w:val="20"/>
          <w:lang w:eastAsia="es-ES"/>
        </w:rPr>
        <w:tab/>
        <w:t>La cantidad contractual podrá cubrir todas las combinaciones posibles de los productos mencionados.</w:t>
      </w:r>
    </w:p>
    <w:p w:rsidR="00624B5C" w:rsidRPr="00B228B7" w:rsidRDefault="00624B5C" w:rsidP="00624B5C">
      <w:pPr>
        <w:shd w:val="clear" w:color="auto" w:fill="auto"/>
        <w:suppressAutoHyphens w:val="0"/>
        <w:spacing w:before="120" w:after="120"/>
        <w:ind w:firstLine="0"/>
        <w:rPr>
          <w:rFonts w:ascii="Arial" w:eastAsia="Calibri" w:hAnsi="Arial"/>
          <w:color w:val="auto"/>
          <w:sz w:val="20"/>
          <w:szCs w:val="20"/>
          <w:lang w:eastAsia="es-ES"/>
        </w:rPr>
      </w:pPr>
      <w:r w:rsidRPr="00B228B7">
        <w:rPr>
          <w:rFonts w:ascii="Arial" w:eastAsia="Calibri" w:hAnsi="Arial"/>
          <w:color w:val="auto"/>
          <w:sz w:val="20"/>
          <w:szCs w:val="20"/>
          <w:lang w:eastAsia="es-ES"/>
        </w:rPr>
        <w:t>(6)</w:t>
      </w:r>
      <w:r w:rsidRPr="00B228B7">
        <w:rPr>
          <w:rFonts w:ascii="Arial" w:eastAsia="Calibri" w:hAnsi="Arial"/>
          <w:color w:val="auto"/>
          <w:sz w:val="20"/>
          <w:szCs w:val="20"/>
          <w:lang w:eastAsia="es-ES"/>
        </w:rPr>
        <w:tab/>
        <w:t>La misma presentación que la de los productos del código NC 0210 19 20</w:t>
      </w:r>
    </w:p>
    <w:p w:rsidR="00F151F0" w:rsidRPr="00B228B7" w:rsidRDefault="00624B5C" w:rsidP="00C159C6">
      <w:pPr>
        <w:shd w:val="clear" w:color="auto" w:fill="auto"/>
        <w:suppressAutoHyphens w:val="0"/>
        <w:spacing w:before="120" w:after="120"/>
        <w:ind w:left="705" w:hanging="705"/>
        <w:rPr>
          <w:rFonts w:ascii="Arial" w:eastAsia="Calibri" w:hAnsi="Arial"/>
          <w:color w:val="auto"/>
          <w:sz w:val="20"/>
          <w:szCs w:val="20"/>
          <w:lang w:eastAsia="es-ES"/>
        </w:rPr>
      </w:pPr>
      <w:r w:rsidRPr="00B228B7">
        <w:rPr>
          <w:rFonts w:ascii="Arial" w:eastAsia="Calibri" w:hAnsi="Arial"/>
          <w:color w:val="auto"/>
          <w:sz w:val="20"/>
          <w:szCs w:val="20"/>
          <w:lang w:eastAsia="es-ES"/>
        </w:rPr>
        <w:t>(7)</w:t>
      </w:r>
      <w:r w:rsidRPr="00B228B7">
        <w:rPr>
          <w:rFonts w:ascii="Arial" w:eastAsia="Calibri" w:hAnsi="Arial"/>
          <w:color w:val="auto"/>
          <w:sz w:val="20"/>
          <w:szCs w:val="20"/>
          <w:lang w:eastAsia="es-ES"/>
        </w:rPr>
        <w:tab/>
      </w:r>
      <w:r w:rsidRPr="00B228B7">
        <w:rPr>
          <w:rFonts w:ascii="Arial" w:eastAsia="Calibri" w:hAnsi="Arial"/>
          <w:color w:val="auto"/>
          <w:sz w:val="20"/>
          <w:szCs w:val="20"/>
          <w:lang w:eastAsia="es-ES"/>
        </w:rPr>
        <w:tab/>
        <w:t>Tejido graso fresco que se acumula bajo la corteza del cerdo y se adhiere a la misma, independientemente de la parte del cerdo de la que proceda; en caso de que se presente con la corteza, el peso del tejido graso deberá exceder el peso de la corteza.</w:t>
      </w:r>
    </w:p>
    <w:p w:rsidR="00B228B7" w:rsidRPr="00B228B7" w:rsidRDefault="00B228B7">
      <w:pPr>
        <w:shd w:val="clear" w:color="auto" w:fill="auto"/>
        <w:suppressAutoHyphens w:val="0"/>
        <w:spacing w:before="120" w:after="120"/>
        <w:ind w:left="705" w:hanging="705"/>
        <w:rPr>
          <w:rFonts w:ascii="Arial" w:eastAsia="Calibri" w:hAnsi="Arial"/>
          <w:color w:val="auto"/>
          <w:sz w:val="20"/>
          <w:szCs w:val="20"/>
          <w:lang w:eastAsia="es-ES"/>
        </w:rPr>
      </w:pPr>
    </w:p>
    <w:sectPr w:rsidR="00B228B7" w:rsidRPr="00B228B7" w:rsidSect="008E45BC">
      <w:headerReference w:type="default" r:id="rId8"/>
      <w:footerReference w:type="default" r:id="rId9"/>
      <w:pgSz w:w="11906" w:h="16838"/>
      <w:pgMar w:top="1701" w:right="1276" w:bottom="1135" w:left="964" w:header="426" w:footer="720" w:gutter="0"/>
      <w:pgNumType w:start="1"/>
      <w:cols w:space="720"/>
      <w:formProt w:val="0"/>
      <w:docGrid w:linePitch="360" w:charSpace="614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DEA" w:rsidRDefault="00DF6DEA">
      <w:pPr>
        <w:spacing w:after="0"/>
      </w:pPr>
      <w:r>
        <w:separator/>
      </w:r>
    </w:p>
  </w:endnote>
  <w:endnote w:type="continuationSeparator" w:id="0">
    <w:p w:rsidR="00DF6DEA" w:rsidRDefault="00DF6DE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Omega">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0" w:usb2="00000016" w:usb3="00000000" w:csb0="0004001F" w:csb1="00000000"/>
  </w:font>
  <w:font w:name="Lucida Sans">
    <w:altName w:val="Times New Roman"/>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9082174"/>
      <w:docPartObj>
        <w:docPartGallery w:val="Page Numbers (Bottom of Page)"/>
        <w:docPartUnique/>
      </w:docPartObj>
    </w:sdtPr>
    <w:sdtEndPr/>
    <w:sdtContent>
      <w:p w:rsidR="00B953B2" w:rsidRDefault="00B953B2">
        <w:pPr>
          <w:pStyle w:val="Piedepgina"/>
          <w:jc w:val="right"/>
        </w:pPr>
        <w:r>
          <w:fldChar w:fldCharType="begin"/>
        </w:r>
        <w:r>
          <w:instrText>PAGE</w:instrText>
        </w:r>
        <w:r>
          <w:fldChar w:fldCharType="separate"/>
        </w:r>
        <w:r w:rsidR="00B228B7">
          <w:rPr>
            <w:noProof/>
          </w:rPr>
          <w:t>3</w:t>
        </w:r>
        <w:r>
          <w:fldChar w:fldCharType="end"/>
        </w:r>
      </w:p>
    </w:sdtContent>
  </w:sdt>
  <w:p w:rsidR="00B953B2" w:rsidRDefault="00B953B2"/>
  <w:p w:rsidR="00C159C6" w:rsidRDefault="00C159C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DEA" w:rsidRDefault="00DF6DEA">
      <w:r>
        <w:separator/>
      </w:r>
    </w:p>
  </w:footnote>
  <w:footnote w:type="continuationSeparator" w:id="0">
    <w:p w:rsidR="00DF6DEA" w:rsidRDefault="00DF6DEA">
      <w:r>
        <w:continuationSeparator/>
      </w:r>
    </w:p>
  </w:footnote>
  <w:footnote w:id="1">
    <w:p w:rsidR="00624B5C" w:rsidRDefault="00624B5C" w:rsidP="00624B5C">
      <w:pPr>
        <w:pStyle w:val="Textonotapie"/>
      </w:pPr>
      <w:r>
        <w:rPr>
          <w:rStyle w:val="Refdenotaalpie"/>
        </w:rPr>
        <w:footnoteRef/>
      </w:r>
      <w:r>
        <w:t xml:space="preserve"> El almacenamiento contractual terminará el día anterior a la salida del almacén.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3B2" w:rsidRDefault="00B953B2">
    <w:pPr>
      <w:pStyle w:val="Encabezado"/>
      <w:rPr>
        <w:sz w:val="24"/>
        <w:szCs w:val="20"/>
      </w:rPr>
    </w:pPr>
    <w:r>
      <w:rPr>
        <w:noProof/>
        <w:lang w:eastAsia="es-ES"/>
      </w:rPr>
      <w:drawing>
        <wp:inline distT="0" distB="0" distL="0" distR="0">
          <wp:extent cx="1800225" cy="647700"/>
          <wp:effectExtent l="0" t="0" r="0" b="0"/>
          <wp:docPr id="51" name="Imagen 38" descr="Agricultura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38" descr="Agricultura Color.jpg"/>
                  <pic:cNvPicPr>
                    <a:picLocks noChangeAspect="1" noChangeArrowheads="1"/>
                  </pic:cNvPicPr>
                </pic:nvPicPr>
                <pic:blipFill>
                  <a:blip r:embed="rId1"/>
                  <a:stretch>
                    <a:fillRect/>
                  </a:stretch>
                </pic:blipFill>
                <pic:spPr bwMode="auto">
                  <a:xfrm>
                    <a:off x="0" y="0"/>
                    <a:ext cx="1800225" cy="647700"/>
                  </a:xfrm>
                  <a:prstGeom prst="rect">
                    <a:avLst/>
                  </a:prstGeom>
                </pic:spPr>
              </pic:pic>
            </a:graphicData>
          </a:graphic>
        </wp:inline>
      </w:drawing>
    </w:r>
    <w:r>
      <w:rPr>
        <w:rFonts w:cs="Arial"/>
      </w:rPr>
      <w:t xml:space="preserve">                                                             </w:t>
    </w:r>
    <w:r>
      <w:rPr>
        <w:rFonts w:cs="Arial"/>
        <w:noProof/>
        <w:lang w:eastAsia="es-ES"/>
      </w:rPr>
      <w:drawing>
        <wp:inline distT="0" distB="0" distL="0" distR="0">
          <wp:extent cx="1800225" cy="514350"/>
          <wp:effectExtent l="0" t="0" r="0" b="0"/>
          <wp:docPr id="52" name="Imagen 52" descr="EUROPA_F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46" descr="EUROPA_FM"/>
                  <pic:cNvPicPr>
                    <a:picLocks noChangeAspect="1" noChangeArrowheads="1"/>
                  </pic:cNvPicPr>
                </pic:nvPicPr>
                <pic:blipFill>
                  <a:blip r:embed="rId2"/>
                  <a:stretch>
                    <a:fillRect/>
                  </a:stretch>
                </pic:blipFill>
                <pic:spPr bwMode="auto">
                  <a:xfrm>
                    <a:off x="0" y="0"/>
                    <a:ext cx="1800225" cy="514350"/>
                  </a:xfrm>
                  <a:prstGeom prst="rect">
                    <a:avLst/>
                  </a:prstGeom>
                </pic:spPr>
              </pic:pic>
            </a:graphicData>
          </a:graphic>
        </wp:inline>
      </w:drawing>
    </w:r>
  </w:p>
  <w:p w:rsidR="00B953B2" w:rsidRDefault="00B953B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1748"/>
        </w:tabs>
        <w:ind w:left="1748" w:hanging="680"/>
      </w:pPr>
      <w:rPr>
        <w:rFonts w:ascii="Times New Roman" w:hAnsi="Times New Roman" w:cs="Times New Roman" w:hint="default"/>
        <w:b/>
        <w:i w:val="0"/>
        <w:sz w:val="28"/>
        <w:szCs w:val="28"/>
      </w:rPr>
    </w:lvl>
    <w:lvl w:ilvl="1">
      <w:start w:val="1"/>
      <w:numFmt w:val="bullet"/>
      <w:lvlText w:val="o"/>
      <w:lvlJc w:val="left"/>
      <w:pPr>
        <w:tabs>
          <w:tab w:val="num" w:pos="2148"/>
        </w:tabs>
        <w:ind w:left="2148" w:hanging="360"/>
      </w:pPr>
      <w:rPr>
        <w:rFonts w:ascii="Courier New" w:hAnsi="Courier New" w:cs="Courier New" w:hint="default"/>
        <w:sz w:val="18"/>
        <w:szCs w:val="18"/>
      </w:rPr>
    </w:lvl>
    <w:lvl w:ilvl="2">
      <w:start w:val="1"/>
      <w:numFmt w:val="bullet"/>
      <w:lvlText w:val=""/>
      <w:lvlJc w:val="left"/>
      <w:pPr>
        <w:tabs>
          <w:tab w:val="num" w:pos="2868"/>
        </w:tabs>
        <w:ind w:left="2868" w:hanging="360"/>
      </w:pPr>
      <w:rPr>
        <w:rFonts w:ascii="Wingdings" w:hAnsi="Wingdings" w:cs="Wingdings" w:hint="default"/>
      </w:rPr>
    </w:lvl>
    <w:lvl w:ilvl="3">
      <w:start w:val="1"/>
      <w:numFmt w:val="bullet"/>
      <w:lvlText w:val=""/>
      <w:lvlJc w:val="left"/>
      <w:pPr>
        <w:tabs>
          <w:tab w:val="num" w:pos="3588"/>
        </w:tabs>
        <w:ind w:left="3588" w:hanging="360"/>
      </w:pPr>
      <w:rPr>
        <w:rFonts w:ascii="Symbol" w:hAnsi="Symbol" w:cs="Symbol" w:hint="default"/>
      </w:rPr>
    </w:lvl>
    <w:lvl w:ilvl="4">
      <w:start w:val="1"/>
      <w:numFmt w:val="bullet"/>
      <w:lvlText w:val="o"/>
      <w:lvlJc w:val="left"/>
      <w:pPr>
        <w:tabs>
          <w:tab w:val="num" w:pos="4308"/>
        </w:tabs>
        <w:ind w:left="4308" w:hanging="360"/>
      </w:pPr>
      <w:rPr>
        <w:rFonts w:ascii="Courier New" w:hAnsi="Courier New" w:cs="Courier New" w:hint="default"/>
        <w:sz w:val="18"/>
        <w:szCs w:val="18"/>
      </w:rPr>
    </w:lvl>
    <w:lvl w:ilvl="5">
      <w:start w:val="1"/>
      <w:numFmt w:val="bullet"/>
      <w:lvlText w:val=""/>
      <w:lvlJc w:val="left"/>
      <w:pPr>
        <w:tabs>
          <w:tab w:val="num" w:pos="5028"/>
        </w:tabs>
        <w:ind w:left="5028" w:hanging="360"/>
      </w:pPr>
      <w:rPr>
        <w:rFonts w:ascii="Wingdings" w:hAnsi="Wingdings" w:cs="Wingdings" w:hint="default"/>
      </w:rPr>
    </w:lvl>
    <w:lvl w:ilvl="6">
      <w:start w:val="1"/>
      <w:numFmt w:val="bullet"/>
      <w:lvlText w:val=""/>
      <w:lvlJc w:val="left"/>
      <w:pPr>
        <w:tabs>
          <w:tab w:val="num" w:pos="5748"/>
        </w:tabs>
        <w:ind w:left="5748" w:hanging="360"/>
      </w:pPr>
      <w:rPr>
        <w:rFonts w:ascii="Symbol" w:hAnsi="Symbol" w:cs="Symbol" w:hint="default"/>
      </w:rPr>
    </w:lvl>
    <w:lvl w:ilvl="7">
      <w:start w:val="1"/>
      <w:numFmt w:val="bullet"/>
      <w:lvlText w:val="o"/>
      <w:lvlJc w:val="left"/>
      <w:pPr>
        <w:tabs>
          <w:tab w:val="num" w:pos="6468"/>
        </w:tabs>
        <w:ind w:left="6468" w:hanging="360"/>
      </w:pPr>
      <w:rPr>
        <w:rFonts w:ascii="Courier New" w:hAnsi="Courier New" w:cs="Courier New" w:hint="default"/>
        <w:sz w:val="18"/>
        <w:szCs w:val="18"/>
      </w:rPr>
    </w:lvl>
    <w:lvl w:ilvl="8">
      <w:start w:val="1"/>
      <w:numFmt w:val="bullet"/>
      <w:lvlText w:val=""/>
      <w:lvlJc w:val="left"/>
      <w:pPr>
        <w:tabs>
          <w:tab w:val="num" w:pos="7188"/>
        </w:tabs>
        <w:ind w:left="7188" w:hanging="360"/>
      </w:pPr>
      <w:rPr>
        <w:rFonts w:ascii="Wingdings" w:hAnsi="Wingdings" w:cs="Wingdings" w:hint="default"/>
      </w:rPr>
    </w:lvl>
  </w:abstractNum>
  <w:abstractNum w:abstractNumId="1" w15:restartNumberingAfterBreak="0">
    <w:nsid w:val="012049FA"/>
    <w:multiLevelType w:val="multilevel"/>
    <w:tmpl w:val="7CEC03A8"/>
    <w:lvl w:ilvl="0">
      <w:start w:val="1"/>
      <w:numFmt w:val="decimal"/>
      <w:pStyle w:val="Ttulo1"/>
      <w:lvlText w:val="%1."/>
      <w:lvlJc w:val="left"/>
      <w:pPr>
        <w:ind w:left="3763" w:hanging="360"/>
      </w:pPr>
    </w:lvl>
    <w:lvl w:ilvl="1">
      <w:start w:val="1"/>
      <w:numFmt w:val="decimal"/>
      <w:pStyle w:val="Ttulo2"/>
      <w:lvlText w:val="%1.%2."/>
      <w:lvlJc w:val="left"/>
      <w:pPr>
        <w:ind w:left="792" w:hanging="432"/>
      </w:pPr>
    </w:lvl>
    <w:lvl w:ilvl="2">
      <w:start w:val="1"/>
      <w:numFmt w:val="decimal"/>
      <w:pStyle w:val="Ttulo3"/>
      <w:lvlText w:val="%1.%2.%3."/>
      <w:lvlJc w:val="left"/>
      <w:pPr>
        <w:ind w:left="1224" w:hanging="504"/>
      </w:pPr>
    </w:lvl>
    <w:lvl w:ilvl="3">
      <w:start w:val="1"/>
      <w:numFmt w:val="decimal"/>
      <w:pStyle w:val="Ttulo4"/>
      <w:lvlText w:val="%1.%2.%3.%4."/>
      <w:lvlJc w:val="left"/>
      <w:pPr>
        <w:ind w:left="1728" w:hanging="648"/>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3A05180"/>
    <w:multiLevelType w:val="multilevel"/>
    <w:tmpl w:val="375C1FBE"/>
    <w:lvl w:ilvl="0">
      <w:start w:val="1"/>
      <w:numFmt w:val="decimal"/>
      <w:lvlText w:val="%1."/>
      <w:lvlJc w:val="left"/>
      <w:pPr>
        <w:ind w:left="567" w:hanging="567"/>
      </w:pPr>
      <w:rPr>
        <w:rFonts w:hint="default"/>
      </w:rPr>
    </w:lvl>
    <w:lvl w:ilvl="1">
      <w:start w:val="1"/>
      <w:numFmt w:val="decimal"/>
      <w:lvlText w:val="%1.%2."/>
      <w:lvlJc w:val="left"/>
      <w:pPr>
        <w:ind w:left="792" w:hanging="432"/>
      </w:pPr>
      <w:rPr>
        <w:rFonts w:hint="default"/>
      </w:rPr>
    </w:lvl>
    <w:lvl w:ilvl="2">
      <w:start w:val="1"/>
      <w:numFmt w:val="decimal"/>
      <w:lvlText w:val="%2%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ADE056A"/>
    <w:multiLevelType w:val="hybridMultilevel"/>
    <w:tmpl w:val="E2B61534"/>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4" w15:restartNumberingAfterBreak="0">
    <w:nsid w:val="114C50A9"/>
    <w:multiLevelType w:val="hybridMultilevel"/>
    <w:tmpl w:val="58A0655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5" w15:restartNumberingAfterBreak="0">
    <w:nsid w:val="14FE1294"/>
    <w:multiLevelType w:val="hybridMultilevel"/>
    <w:tmpl w:val="CD3ABF4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AB4EB6"/>
    <w:multiLevelType w:val="hybridMultilevel"/>
    <w:tmpl w:val="C2667178"/>
    <w:lvl w:ilvl="0" w:tplc="1AA229A8">
      <w:start w:val="3"/>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6E6791C"/>
    <w:multiLevelType w:val="multilevel"/>
    <w:tmpl w:val="A13A9856"/>
    <w:styleLink w:val="Estilo1"/>
    <w:lvl w:ilvl="0">
      <w:start w:val="1"/>
      <w:numFmt w:val="decimal"/>
      <w:lvlText w:val="%1."/>
      <w:lvlJc w:val="left"/>
      <w:pPr>
        <w:ind w:left="3763"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C864C26"/>
    <w:multiLevelType w:val="hybridMultilevel"/>
    <w:tmpl w:val="25C08E6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C74798A"/>
    <w:multiLevelType w:val="hybridMultilevel"/>
    <w:tmpl w:val="F67697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A2657A4"/>
    <w:multiLevelType w:val="multilevel"/>
    <w:tmpl w:val="93640E44"/>
    <w:lvl w:ilvl="0">
      <w:start w:val="1"/>
      <w:numFmt w:val="decimal"/>
      <w:lvlText w:val="%1"/>
      <w:lvlJc w:val="left"/>
      <w:pPr>
        <w:ind w:left="432" w:hanging="432"/>
      </w:pPr>
    </w:lvl>
    <w:lvl w:ilvl="1">
      <w:start w:val="1"/>
      <w:numFmt w:val="decimal"/>
      <w:lvlText w:val="%1.%2"/>
      <w:lvlJc w:val="left"/>
      <w:pPr>
        <w:ind w:left="718"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4DF2C69"/>
    <w:multiLevelType w:val="hybridMultilevel"/>
    <w:tmpl w:val="EBDCE3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621108F"/>
    <w:multiLevelType w:val="hybridMultilevel"/>
    <w:tmpl w:val="5CF6C222"/>
    <w:lvl w:ilvl="0" w:tplc="0C0A0001">
      <w:start w:val="1"/>
      <w:numFmt w:val="bullet"/>
      <w:lvlText w:val=""/>
      <w:lvlJc w:val="left"/>
      <w:pPr>
        <w:ind w:left="720" w:hanging="360"/>
      </w:pPr>
      <w:rPr>
        <w:rFonts w:ascii="Symbol" w:hAnsi="Symbol" w:hint="default"/>
      </w:rPr>
    </w:lvl>
    <w:lvl w:ilvl="1" w:tplc="0AC819D8">
      <w:numFmt w:val="bullet"/>
      <w:lvlText w:val="•"/>
      <w:lvlJc w:val="left"/>
      <w:pPr>
        <w:ind w:left="1785" w:hanging="705"/>
      </w:pPr>
      <w:rPr>
        <w:rFonts w:ascii="Arial" w:eastAsia="Calibr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C6F7322"/>
    <w:multiLevelType w:val="hybridMultilevel"/>
    <w:tmpl w:val="61161FD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10"/>
  </w:num>
  <w:num w:numId="5">
    <w:abstractNumId w:val="12"/>
  </w:num>
  <w:num w:numId="6">
    <w:abstractNumId w:val="5"/>
  </w:num>
  <w:num w:numId="7">
    <w:abstractNumId w:val="6"/>
  </w:num>
  <w:num w:numId="8">
    <w:abstractNumId w:val="3"/>
  </w:num>
  <w:num w:numId="9">
    <w:abstractNumId w:val="4"/>
  </w:num>
  <w:num w:numId="10">
    <w:abstractNumId w:val="13"/>
  </w:num>
  <w:num w:numId="11">
    <w:abstractNumId w:val="8"/>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9"/>
  </w:num>
  <w:num w:numId="31">
    <w:abstractNumId w:val="11"/>
  </w:num>
  <w:num w:numId="32">
    <w:abstractNumId w:val="1"/>
  </w:num>
  <w:num w:numId="33">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embedSystemFonts/>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1F0"/>
    <w:rsid w:val="000145EF"/>
    <w:rsid w:val="00135A03"/>
    <w:rsid w:val="00171B1C"/>
    <w:rsid w:val="00187D1E"/>
    <w:rsid w:val="00193F4E"/>
    <w:rsid w:val="001D1396"/>
    <w:rsid w:val="00226723"/>
    <w:rsid w:val="002324A2"/>
    <w:rsid w:val="002528BE"/>
    <w:rsid w:val="00270FCA"/>
    <w:rsid w:val="002C7A07"/>
    <w:rsid w:val="002F6CC8"/>
    <w:rsid w:val="002F743C"/>
    <w:rsid w:val="00322020"/>
    <w:rsid w:val="00330978"/>
    <w:rsid w:val="00347977"/>
    <w:rsid w:val="0035007E"/>
    <w:rsid w:val="00404E81"/>
    <w:rsid w:val="0041289F"/>
    <w:rsid w:val="00455147"/>
    <w:rsid w:val="00456864"/>
    <w:rsid w:val="0046290D"/>
    <w:rsid w:val="00492F87"/>
    <w:rsid w:val="004E471E"/>
    <w:rsid w:val="005430D5"/>
    <w:rsid w:val="005B33CC"/>
    <w:rsid w:val="00624B5C"/>
    <w:rsid w:val="006320FA"/>
    <w:rsid w:val="00683396"/>
    <w:rsid w:val="006A457E"/>
    <w:rsid w:val="006D35D2"/>
    <w:rsid w:val="0070206B"/>
    <w:rsid w:val="007038A8"/>
    <w:rsid w:val="00763978"/>
    <w:rsid w:val="00776C60"/>
    <w:rsid w:val="007930CE"/>
    <w:rsid w:val="007B036C"/>
    <w:rsid w:val="008601AE"/>
    <w:rsid w:val="008606BB"/>
    <w:rsid w:val="008820A1"/>
    <w:rsid w:val="008E1E75"/>
    <w:rsid w:val="008E45BC"/>
    <w:rsid w:val="0097179C"/>
    <w:rsid w:val="00971D90"/>
    <w:rsid w:val="00975C41"/>
    <w:rsid w:val="00A10704"/>
    <w:rsid w:val="00A37CC1"/>
    <w:rsid w:val="00B009B7"/>
    <w:rsid w:val="00B15EEC"/>
    <w:rsid w:val="00B228B7"/>
    <w:rsid w:val="00B953B2"/>
    <w:rsid w:val="00BC3317"/>
    <w:rsid w:val="00BE03A3"/>
    <w:rsid w:val="00BF2B80"/>
    <w:rsid w:val="00C159C6"/>
    <w:rsid w:val="00C451EB"/>
    <w:rsid w:val="00C8632D"/>
    <w:rsid w:val="00CF7D0D"/>
    <w:rsid w:val="00D27832"/>
    <w:rsid w:val="00D74C42"/>
    <w:rsid w:val="00DC31F9"/>
    <w:rsid w:val="00DF6DEA"/>
    <w:rsid w:val="00E16173"/>
    <w:rsid w:val="00E81DB1"/>
    <w:rsid w:val="00EC2123"/>
    <w:rsid w:val="00EC7C2D"/>
    <w:rsid w:val="00F151F0"/>
    <w:rsid w:val="00F46ED2"/>
    <w:rsid w:val="00FA015B"/>
    <w:rsid w:val="00FB4A68"/>
    <w:rsid w:val="00FD2FF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7A6A1E1-60F6-484A-AC45-271E60F43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C35"/>
    <w:pPr>
      <w:shd w:val="clear" w:color="auto" w:fill="FFFFFF"/>
      <w:suppressAutoHyphens/>
      <w:spacing w:after="60"/>
      <w:ind w:firstLine="284"/>
      <w:jc w:val="both"/>
    </w:pPr>
    <w:rPr>
      <w:color w:val="00000A"/>
      <w:sz w:val="18"/>
      <w:szCs w:val="18"/>
      <w:lang w:eastAsia="zh-CN"/>
    </w:rPr>
  </w:style>
  <w:style w:type="paragraph" w:styleId="Ttulo1">
    <w:name w:val="heading 1"/>
    <w:basedOn w:val="Normal"/>
    <w:next w:val="Normal"/>
    <w:uiPriority w:val="9"/>
    <w:qFormat/>
    <w:rsid w:val="00B47CBD"/>
    <w:pPr>
      <w:keepNext/>
      <w:numPr>
        <w:numId w:val="1"/>
      </w:numPr>
      <w:spacing w:before="240"/>
      <w:outlineLvl w:val="0"/>
    </w:pPr>
    <w:rPr>
      <w:rFonts w:ascii="Arial" w:hAnsi="Arial" w:cs="Arial"/>
      <w:b/>
      <w:bCs/>
      <w:sz w:val="24"/>
      <w:szCs w:val="32"/>
    </w:rPr>
  </w:style>
  <w:style w:type="paragraph" w:styleId="Ttulo2">
    <w:name w:val="heading 2"/>
    <w:basedOn w:val="Normal"/>
    <w:next w:val="Normal"/>
    <w:link w:val="Ttulo2Car"/>
    <w:autoRedefine/>
    <w:uiPriority w:val="9"/>
    <w:qFormat/>
    <w:rsid w:val="0036121C"/>
    <w:pPr>
      <w:keepNext/>
      <w:keepLines/>
      <w:numPr>
        <w:ilvl w:val="1"/>
        <w:numId w:val="1"/>
      </w:numPr>
      <w:suppressAutoHyphens w:val="0"/>
      <w:spacing w:after="0"/>
      <w:outlineLvl w:val="1"/>
    </w:pPr>
    <w:rPr>
      <w:rFonts w:ascii="Arial" w:hAnsi="Arial" w:cs="Arial"/>
      <w:b/>
      <w:bCs/>
      <w:i/>
      <w:iCs/>
      <w:sz w:val="22"/>
      <w:szCs w:val="24"/>
    </w:rPr>
  </w:style>
  <w:style w:type="paragraph" w:styleId="Ttulo3">
    <w:name w:val="heading 3"/>
    <w:basedOn w:val="Normal"/>
    <w:next w:val="Normal"/>
    <w:link w:val="Ttulo3Car"/>
    <w:uiPriority w:val="9"/>
    <w:unhideWhenUsed/>
    <w:qFormat/>
    <w:rsid w:val="00C81214"/>
    <w:pPr>
      <w:keepNext/>
      <w:numPr>
        <w:ilvl w:val="2"/>
        <w:numId w:val="1"/>
      </w:numPr>
      <w:spacing w:before="240"/>
      <w:outlineLvl w:val="2"/>
    </w:pPr>
    <w:rPr>
      <w:rFonts w:ascii="Arial" w:hAnsi="Arial" w:cs="Arial"/>
      <w:bCs/>
      <w:sz w:val="20"/>
      <w:szCs w:val="20"/>
    </w:rPr>
  </w:style>
  <w:style w:type="paragraph" w:styleId="Ttulo4">
    <w:name w:val="heading 4"/>
    <w:basedOn w:val="Normal"/>
    <w:next w:val="Normal"/>
    <w:link w:val="Ttulo4Car"/>
    <w:uiPriority w:val="9"/>
    <w:qFormat/>
    <w:rsid w:val="005944C1"/>
    <w:pPr>
      <w:keepNext/>
      <w:numPr>
        <w:ilvl w:val="3"/>
        <w:numId w:val="1"/>
      </w:numPr>
      <w:suppressAutoHyphens w:val="0"/>
      <w:spacing w:after="0"/>
      <w:jc w:val="center"/>
      <w:outlineLvl w:val="3"/>
    </w:pPr>
    <w:rPr>
      <w:rFonts w:ascii="CG Omega" w:hAnsi="CG Omega"/>
      <w:spacing w:val="40"/>
      <w:sz w:val="28"/>
      <w:lang w:eastAsia="en-US"/>
    </w:rPr>
  </w:style>
  <w:style w:type="paragraph" w:styleId="Ttulo5">
    <w:name w:val="heading 5"/>
    <w:basedOn w:val="Normal"/>
    <w:next w:val="Normal"/>
    <w:link w:val="Ttulo5Car"/>
    <w:uiPriority w:val="9"/>
    <w:unhideWhenUsed/>
    <w:qFormat/>
    <w:rsid w:val="00EA7E2D"/>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EA7E2D"/>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unhideWhenUsed/>
    <w:qFormat/>
    <w:rsid w:val="00EA7E2D"/>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unhideWhenUsed/>
    <w:qFormat/>
    <w:rsid w:val="00EA7E2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A7E2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qFormat/>
    <w:rsid w:val="0036121C"/>
    <w:rPr>
      <w:rFonts w:ascii="Arial" w:hAnsi="Arial" w:cs="Arial"/>
      <w:b/>
      <w:bCs/>
      <w:i/>
      <w:iCs/>
      <w:color w:val="00000A"/>
      <w:sz w:val="22"/>
      <w:szCs w:val="24"/>
      <w:shd w:val="clear" w:color="auto" w:fill="FFFFFF"/>
      <w:lang w:eastAsia="zh-CN"/>
    </w:rPr>
  </w:style>
  <w:style w:type="character" w:customStyle="1" w:styleId="Ttulo3Car">
    <w:name w:val="Título 3 Car"/>
    <w:link w:val="Ttulo3"/>
    <w:uiPriority w:val="9"/>
    <w:qFormat/>
    <w:rsid w:val="00C81214"/>
    <w:rPr>
      <w:rFonts w:ascii="Arial" w:hAnsi="Arial" w:cs="Arial"/>
      <w:bCs/>
      <w:color w:val="00000A"/>
      <w:shd w:val="clear" w:color="auto" w:fill="FFFFFF"/>
      <w:lang w:eastAsia="zh-CN"/>
    </w:rPr>
  </w:style>
  <w:style w:type="character" w:customStyle="1" w:styleId="Ttulo4Car">
    <w:name w:val="Título 4 Car"/>
    <w:basedOn w:val="Fuentedeprrafopredeter"/>
    <w:link w:val="Ttulo4"/>
    <w:uiPriority w:val="9"/>
    <w:qFormat/>
    <w:rsid w:val="005944C1"/>
    <w:rPr>
      <w:rFonts w:ascii="CG Omega" w:hAnsi="CG Omega"/>
      <w:color w:val="00000A"/>
      <w:spacing w:val="40"/>
      <w:sz w:val="28"/>
      <w:szCs w:val="18"/>
      <w:shd w:val="clear" w:color="auto" w:fill="FFFFFF"/>
      <w:lang w:eastAsia="en-US"/>
    </w:rPr>
  </w:style>
  <w:style w:type="character" w:customStyle="1" w:styleId="Ttulo5Car">
    <w:name w:val="Título 5 Car"/>
    <w:basedOn w:val="Fuentedeprrafopredeter"/>
    <w:link w:val="Ttulo5"/>
    <w:uiPriority w:val="9"/>
    <w:qFormat/>
    <w:rsid w:val="00EA7E2D"/>
    <w:rPr>
      <w:rFonts w:asciiTheme="majorHAnsi" w:eastAsiaTheme="majorEastAsia" w:hAnsiTheme="majorHAnsi" w:cstheme="majorBidi"/>
      <w:color w:val="2E74B5" w:themeColor="accent1" w:themeShade="BF"/>
      <w:sz w:val="18"/>
      <w:szCs w:val="18"/>
      <w:shd w:val="clear" w:color="auto" w:fill="FFFFFF"/>
      <w:lang w:eastAsia="zh-CN"/>
    </w:rPr>
  </w:style>
  <w:style w:type="character" w:customStyle="1" w:styleId="Ttulo6Car">
    <w:name w:val="Título 6 Car"/>
    <w:basedOn w:val="Fuentedeprrafopredeter"/>
    <w:link w:val="Ttulo6"/>
    <w:uiPriority w:val="9"/>
    <w:qFormat/>
    <w:rsid w:val="00EA7E2D"/>
    <w:rPr>
      <w:rFonts w:asciiTheme="majorHAnsi" w:eastAsiaTheme="majorEastAsia" w:hAnsiTheme="majorHAnsi" w:cstheme="majorBidi"/>
      <w:color w:val="1F4D78" w:themeColor="accent1" w:themeShade="7F"/>
      <w:sz w:val="18"/>
      <w:szCs w:val="18"/>
      <w:shd w:val="clear" w:color="auto" w:fill="FFFFFF"/>
      <w:lang w:eastAsia="zh-CN"/>
    </w:rPr>
  </w:style>
  <w:style w:type="character" w:customStyle="1" w:styleId="Ttulo7Car">
    <w:name w:val="Título 7 Car"/>
    <w:basedOn w:val="Fuentedeprrafopredeter"/>
    <w:link w:val="Ttulo7"/>
    <w:uiPriority w:val="9"/>
    <w:qFormat/>
    <w:rsid w:val="00EA7E2D"/>
    <w:rPr>
      <w:rFonts w:asciiTheme="majorHAnsi" w:eastAsiaTheme="majorEastAsia" w:hAnsiTheme="majorHAnsi" w:cstheme="majorBidi"/>
      <w:i/>
      <w:iCs/>
      <w:color w:val="1F4D78" w:themeColor="accent1" w:themeShade="7F"/>
      <w:sz w:val="18"/>
      <w:szCs w:val="18"/>
      <w:shd w:val="clear" w:color="auto" w:fill="FFFFFF"/>
      <w:lang w:eastAsia="zh-CN"/>
    </w:rPr>
  </w:style>
  <w:style w:type="character" w:customStyle="1" w:styleId="Ttulo8Car">
    <w:name w:val="Título 8 Car"/>
    <w:basedOn w:val="Fuentedeprrafopredeter"/>
    <w:link w:val="Ttulo8"/>
    <w:uiPriority w:val="9"/>
    <w:qFormat/>
    <w:rsid w:val="00EA7E2D"/>
    <w:rPr>
      <w:rFonts w:asciiTheme="majorHAnsi" w:eastAsiaTheme="majorEastAsia" w:hAnsiTheme="majorHAnsi" w:cstheme="majorBidi"/>
      <w:color w:val="272727" w:themeColor="text1" w:themeTint="D8"/>
      <w:sz w:val="21"/>
      <w:szCs w:val="21"/>
      <w:shd w:val="clear" w:color="auto" w:fill="FFFFFF"/>
      <w:lang w:eastAsia="zh-CN"/>
    </w:rPr>
  </w:style>
  <w:style w:type="character" w:customStyle="1" w:styleId="Ttulo9Car">
    <w:name w:val="Título 9 Car"/>
    <w:basedOn w:val="Fuentedeprrafopredeter"/>
    <w:link w:val="Ttulo9"/>
    <w:uiPriority w:val="9"/>
    <w:qFormat/>
    <w:rsid w:val="00EA7E2D"/>
    <w:rPr>
      <w:rFonts w:asciiTheme="majorHAnsi" w:eastAsiaTheme="majorEastAsia" w:hAnsiTheme="majorHAnsi" w:cstheme="majorBidi"/>
      <w:i/>
      <w:iCs/>
      <w:color w:val="272727" w:themeColor="text1" w:themeTint="D8"/>
      <w:sz w:val="21"/>
      <w:szCs w:val="21"/>
      <w:shd w:val="clear" w:color="auto" w:fill="FFFFFF"/>
      <w:lang w:eastAsia="zh-CN"/>
    </w:rPr>
  </w:style>
  <w:style w:type="character" w:customStyle="1" w:styleId="Caracteresdenotaalpie">
    <w:name w:val="Caracteres de nota al pie"/>
    <w:qFormat/>
    <w:rPr>
      <w:rFonts w:cs="Times New Roman"/>
      <w:vertAlign w:val="superscript"/>
    </w:rPr>
  </w:style>
  <w:style w:type="character" w:customStyle="1" w:styleId="SubttuloCar">
    <w:name w:val="Subtítulo Car"/>
    <w:link w:val="Subttulo"/>
    <w:uiPriority w:val="11"/>
    <w:qFormat/>
    <w:rsid w:val="00EC2123"/>
    <w:rPr>
      <w:rFonts w:ascii="Calibri Light" w:hAnsi="Calibri Light"/>
      <w:b/>
      <w:color w:val="FF0000"/>
      <w:sz w:val="16"/>
      <w:u w:val="single"/>
      <w:shd w:val="clear" w:color="auto" w:fill="FFFFFF"/>
      <w:lang w:eastAsia="zh-CN"/>
    </w:rPr>
  </w:style>
  <w:style w:type="character" w:customStyle="1" w:styleId="EnlacedeInternet">
    <w:name w:val="Enlace de Internet"/>
    <w:basedOn w:val="Fuentedeprrafopredeter"/>
    <w:uiPriority w:val="99"/>
    <w:unhideWhenUsed/>
    <w:rsid w:val="00313E30"/>
    <w:rPr>
      <w:color w:val="0563C1" w:themeColor="hyperlink"/>
      <w:u w:val="single"/>
    </w:rPr>
  </w:style>
  <w:style w:type="character" w:customStyle="1" w:styleId="EncabezadoCar">
    <w:name w:val="Encabezado Car"/>
    <w:basedOn w:val="Fuentedeprrafopredeter"/>
    <w:link w:val="Encabezado"/>
    <w:uiPriority w:val="99"/>
    <w:qFormat/>
    <w:rsid w:val="004C25C0"/>
    <w:rPr>
      <w:color w:val="00000A"/>
      <w:sz w:val="18"/>
      <w:szCs w:val="18"/>
      <w:lang w:eastAsia="zh-CN"/>
    </w:rPr>
  </w:style>
  <w:style w:type="character" w:customStyle="1" w:styleId="PiedepginaCar">
    <w:name w:val="Pie de página Car"/>
    <w:basedOn w:val="Fuentedeprrafopredeter"/>
    <w:link w:val="Piedepgina"/>
    <w:uiPriority w:val="99"/>
    <w:qFormat/>
    <w:rsid w:val="004C25C0"/>
    <w:rPr>
      <w:color w:val="00000A"/>
      <w:sz w:val="18"/>
      <w:szCs w:val="18"/>
      <w:lang w:eastAsia="zh-CN"/>
    </w:rPr>
  </w:style>
  <w:style w:type="character" w:customStyle="1" w:styleId="ListLabel1">
    <w:name w:val="ListLabel 1"/>
    <w:qFormat/>
    <w:rPr>
      <w:b/>
    </w:rPr>
  </w:style>
  <w:style w:type="character" w:customStyle="1" w:styleId="ListLabel2">
    <w:name w:val="ListLabel 2"/>
    <w:qFormat/>
    <w:rPr>
      <w:b/>
    </w:rPr>
  </w:style>
  <w:style w:type="character" w:customStyle="1" w:styleId="ListLabel3">
    <w:name w:val="ListLabel 3"/>
    <w:qFormat/>
    <w:rPr>
      <w:b/>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b/>
    </w:rPr>
  </w:style>
  <w:style w:type="character" w:customStyle="1" w:styleId="ListLabel7">
    <w:name w:val="ListLabel 7"/>
    <w:qFormat/>
    <w:rPr>
      <w:b/>
    </w:rPr>
  </w:style>
  <w:style w:type="character" w:customStyle="1" w:styleId="ListLabel8">
    <w:name w:val="ListLabel 8"/>
    <w:qFormat/>
    <w:rPr>
      <w:b/>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ascii="Arial Narrow" w:hAnsi="Arial Narrow"/>
      <w:color w:val="00000A"/>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color w:val="00000A"/>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strike w:val="0"/>
      <w:dstrike w:val="0"/>
      <w:color w:val="00000A"/>
    </w:rPr>
  </w:style>
  <w:style w:type="character" w:customStyle="1" w:styleId="ListLabel27">
    <w:name w:val="ListLabel 27"/>
    <w:qFormat/>
    <w:rPr>
      <w:rFonts w:cs="Courier New"/>
      <w:strike w:val="0"/>
      <w:dstrike w:val="0"/>
      <w:color w:val="00000A"/>
      <w:sz w:val="22"/>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strike w:val="0"/>
      <w:dstrike w:val="0"/>
      <w:color w:val="00000A"/>
    </w:rPr>
  </w:style>
  <w:style w:type="character" w:customStyle="1" w:styleId="ListLabel31">
    <w:name w:val="ListLabel 31"/>
    <w:qFormat/>
    <w:rPr>
      <w:rFonts w:cs="Courier New"/>
      <w:strike w:val="0"/>
      <w:dstrike w:val="0"/>
      <w:color w:val="00000A"/>
      <w:sz w:val="22"/>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Enlacedelndice">
    <w:name w:val="Enlace del índice"/>
    <w:qFormat/>
  </w:style>
  <w:style w:type="character" w:customStyle="1" w:styleId="TextodegloboCar">
    <w:name w:val="Texto de globo Car"/>
    <w:basedOn w:val="Fuentedeprrafopredeter"/>
    <w:link w:val="Textodeglobo"/>
    <w:uiPriority w:val="99"/>
    <w:semiHidden/>
    <w:qFormat/>
    <w:rsid w:val="000478DC"/>
    <w:rPr>
      <w:rFonts w:ascii="Segoe UI" w:hAnsi="Segoe UI" w:cs="Segoe UI"/>
      <w:color w:val="00000A"/>
      <w:sz w:val="18"/>
      <w:szCs w:val="18"/>
      <w:lang w:eastAsia="zh-CN"/>
    </w:rPr>
  </w:style>
  <w:style w:type="character" w:customStyle="1" w:styleId="SangradetextonormalCar">
    <w:name w:val="Sangría de texto normal Car"/>
    <w:basedOn w:val="Fuentedeprrafopredeter"/>
    <w:link w:val="Sangradetextonormal"/>
    <w:semiHidden/>
    <w:qFormat/>
    <w:rsid w:val="002C539C"/>
    <w:rPr>
      <w:color w:val="00000A"/>
      <w:sz w:val="18"/>
      <w:szCs w:val="18"/>
      <w:lang w:eastAsia="zh-CN"/>
    </w:rPr>
  </w:style>
  <w:style w:type="character" w:customStyle="1" w:styleId="WW8Num1z0">
    <w:name w:val="WW8Num1z0"/>
    <w:qFormat/>
    <w:rsid w:val="002C539C"/>
    <w:rPr>
      <w:rFonts w:ascii="Symbol" w:hAnsi="Symbol" w:cs="Symbol"/>
    </w:rPr>
  </w:style>
  <w:style w:type="character" w:customStyle="1" w:styleId="WW8Num1z1">
    <w:name w:val="WW8Num1z1"/>
    <w:qFormat/>
    <w:rsid w:val="002C539C"/>
    <w:rPr>
      <w:rFonts w:ascii="Courier New" w:hAnsi="Courier New" w:cs="Courier New"/>
    </w:rPr>
  </w:style>
  <w:style w:type="character" w:customStyle="1" w:styleId="WW8Num1z2">
    <w:name w:val="WW8Num1z2"/>
    <w:qFormat/>
    <w:rsid w:val="002C539C"/>
    <w:rPr>
      <w:rFonts w:ascii="Wingdings" w:hAnsi="Wingdings" w:cs="Wingdings"/>
    </w:rPr>
  </w:style>
  <w:style w:type="character" w:customStyle="1" w:styleId="WW8Num2z0">
    <w:name w:val="WW8Num2z0"/>
    <w:qFormat/>
    <w:rsid w:val="002C539C"/>
    <w:rPr>
      <w:rFonts w:ascii="Times New Roman" w:hAnsi="Times New Roman" w:cs="Times New Roman"/>
    </w:rPr>
  </w:style>
  <w:style w:type="character" w:customStyle="1" w:styleId="WW8Num3z0">
    <w:name w:val="WW8Num3z0"/>
    <w:qFormat/>
    <w:rsid w:val="002C539C"/>
    <w:rPr>
      <w:rFonts w:ascii="Calibri" w:eastAsia="Calibri" w:hAnsi="Calibri" w:cs="Times New Roman"/>
    </w:rPr>
  </w:style>
  <w:style w:type="character" w:customStyle="1" w:styleId="WW8Num3z1">
    <w:name w:val="WW8Num3z1"/>
    <w:qFormat/>
    <w:rsid w:val="002C539C"/>
    <w:rPr>
      <w:rFonts w:ascii="Courier New" w:hAnsi="Courier New" w:cs="Courier New"/>
    </w:rPr>
  </w:style>
  <w:style w:type="character" w:customStyle="1" w:styleId="WW8Num3z2">
    <w:name w:val="WW8Num3z2"/>
    <w:qFormat/>
    <w:rsid w:val="002C539C"/>
    <w:rPr>
      <w:rFonts w:ascii="Wingdings" w:hAnsi="Wingdings" w:cs="Wingdings"/>
    </w:rPr>
  </w:style>
  <w:style w:type="character" w:customStyle="1" w:styleId="WW8Num3z3">
    <w:name w:val="WW8Num3z3"/>
    <w:qFormat/>
    <w:rsid w:val="002C539C"/>
    <w:rPr>
      <w:rFonts w:ascii="Symbol" w:hAnsi="Symbol" w:cs="Symbol"/>
    </w:rPr>
  </w:style>
  <w:style w:type="character" w:customStyle="1" w:styleId="WW8Num4z0">
    <w:name w:val="WW8Num4z0"/>
    <w:qFormat/>
    <w:rsid w:val="002C539C"/>
  </w:style>
  <w:style w:type="character" w:customStyle="1" w:styleId="WW8Num5z0">
    <w:name w:val="WW8Num5z0"/>
    <w:qFormat/>
    <w:rsid w:val="002C539C"/>
    <w:rPr>
      <w:rFonts w:ascii="Times New Roman" w:hAnsi="Times New Roman" w:cs="Times New Roman"/>
      <w:b/>
      <w:i w:val="0"/>
      <w:sz w:val="28"/>
      <w:szCs w:val="28"/>
    </w:rPr>
  </w:style>
  <w:style w:type="character" w:customStyle="1" w:styleId="WW8Num5z1">
    <w:name w:val="WW8Num5z1"/>
    <w:qFormat/>
    <w:rsid w:val="002C539C"/>
    <w:rPr>
      <w:rFonts w:ascii="Courier New" w:hAnsi="Courier New" w:cs="Courier New"/>
      <w:sz w:val="18"/>
      <w:szCs w:val="18"/>
    </w:rPr>
  </w:style>
  <w:style w:type="character" w:customStyle="1" w:styleId="WW8Num5z2">
    <w:name w:val="WW8Num5z2"/>
    <w:qFormat/>
    <w:rsid w:val="002C539C"/>
    <w:rPr>
      <w:rFonts w:ascii="Wingdings" w:hAnsi="Wingdings" w:cs="Wingdings"/>
    </w:rPr>
  </w:style>
  <w:style w:type="character" w:customStyle="1" w:styleId="WW8Num5z3">
    <w:name w:val="WW8Num5z3"/>
    <w:qFormat/>
    <w:rsid w:val="002C539C"/>
    <w:rPr>
      <w:rFonts w:ascii="Symbol" w:hAnsi="Symbol" w:cs="Symbol"/>
    </w:rPr>
  </w:style>
  <w:style w:type="character" w:customStyle="1" w:styleId="WW8Num6z0">
    <w:name w:val="WW8Num6z0"/>
    <w:qFormat/>
    <w:rsid w:val="002C539C"/>
    <w:rPr>
      <w:rFonts w:ascii="Arial" w:hAnsi="Arial" w:cs="Arial"/>
      <w:b/>
      <w:i w:val="0"/>
      <w:sz w:val="20"/>
      <w:szCs w:val="20"/>
    </w:rPr>
  </w:style>
  <w:style w:type="character" w:customStyle="1" w:styleId="WW8Num6z1">
    <w:name w:val="WW8Num6z1"/>
    <w:qFormat/>
    <w:rsid w:val="002C539C"/>
    <w:rPr>
      <w:rFonts w:ascii="Courier New" w:hAnsi="Courier New" w:cs="Courier New"/>
    </w:rPr>
  </w:style>
  <w:style w:type="character" w:customStyle="1" w:styleId="WW8Num6z2">
    <w:name w:val="WW8Num6z2"/>
    <w:qFormat/>
    <w:rsid w:val="002C539C"/>
    <w:rPr>
      <w:rFonts w:ascii="Wingdings" w:hAnsi="Wingdings" w:cs="Wingdings"/>
    </w:rPr>
  </w:style>
  <w:style w:type="character" w:customStyle="1" w:styleId="WW8Num6z3">
    <w:name w:val="WW8Num6z3"/>
    <w:qFormat/>
    <w:rsid w:val="002C539C"/>
    <w:rPr>
      <w:rFonts w:ascii="Symbol" w:hAnsi="Symbol" w:cs="Symbol"/>
    </w:rPr>
  </w:style>
  <w:style w:type="character" w:customStyle="1" w:styleId="WW8Num7z0">
    <w:name w:val="WW8Num7z0"/>
    <w:qFormat/>
    <w:rsid w:val="002C539C"/>
  </w:style>
  <w:style w:type="character" w:customStyle="1" w:styleId="WW8Num8z0">
    <w:name w:val="WW8Num8z0"/>
    <w:qFormat/>
    <w:rsid w:val="002C539C"/>
    <w:rPr>
      <w:rFonts w:ascii="Courier New" w:hAnsi="Courier New" w:cs="Courier New"/>
    </w:rPr>
  </w:style>
  <w:style w:type="character" w:customStyle="1" w:styleId="WW8Num8z2">
    <w:name w:val="WW8Num8z2"/>
    <w:qFormat/>
    <w:rsid w:val="002C539C"/>
    <w:rPr>
      <w:rFonts w:ascii="Wingdings" w:hAnsi="Wingdings" w:cs="Wingdings"/>
    </w:rPr>
  </w:style>
  <w:style w:type="character" w:customStyle="1" w:styleId="WW8Num8z3">
    <w:name w:val="WW8Num8z3"/>
    <w:qFormat/>
    <w:rsid w:val="002C539C"/>
    <w:rPr>
      <w:rFonts w:ascii="Symbol" w:hAnsi="Symbol" w:cs="Symbol"/>
    </w:rPr>
  </w:style>
  <w:style w:type="character" w:customStyle="1" w:styleId="WW8Num9z0">
    <w:name w:val="WW8Num9z0"/>
    <w:qFormat/>
    <w:rsid w:val="002C539C"/>
  </w:style>
  <w:style w:type="character" w:customStyle="1" w:styleId="WW8Num9z1">
    <w:name w:val="WW8Num9z1"/>
    <w:qFormat/>
    <w:rsid w:val="002C539C"/>
    <w:rPr>
      <w:b/>
    </w:rPr>
  </w:style>
  <w:style w:type="character" w:customStyle="1" w:styleId="WW8Num9z2">
    <w:name w:val="WW8Num9z2"/>
    <w:qFormat/>
    <w:rsid w:val="002C539C"/>
    <w:rPr>
      <w:i w:val="0"/>
    </w:rPr>
  </w:style>
  <w:style w:type="character" w:customStyle="1" w:styleId="WW8Num10z0">
    <w:name w:val="WW8Num10z0"/>
    <w:qFormat/>
    <w:rsid w:val="002C539C"/>
    <w:rPr>
      <w:rFonts w:ascii="Courier New" w:hAnsi="Courier New" w:cs="Courier New"/>
    </w:rPr>
  </w:style>
  <w:style w:type="character" w:customStyle="1" w:styleId="WW8Num10z2">
    <w:name w:val="WW8Num10z2"/>
    <w:qFormat/>
    <w:rsid w:val="002C539C"/>
    <w:rPr>
      <w:rFonts w:ascii="Wingdings" w:hAnsi="Wingdings" w:cs="Wingdings"/>
    </w:rPr>
  </w:style>
  <w:style w:type="character" w:customStyle="1" w:styleId="WW8Num10z3">
    <w:name w:val="WW8Num10z3"/>
    <w:qFormat/>
    <w:rsid w:val="002C539C"/>
    <w:rPr>
      <w:rFonts w:ascii="Symbol" w:hAnsi="Symbol" w:cs="Symbol"/>
    </w:rPr>
  </w:style>
  <w:style w:type="character" w:customStyle="1" w:styleId="WW8Num11z0">
    <w:name w:val="WW8Num11z0"/>
    <w:qFormat/>
    <w:rsid w:val="002C539C"/>
    <w:rPr>
      <w:rFonts w:ascii="Courier New" w:hAnsi="Courier New" w:cs="Courier New"/>
    </w:rPr>
  </w:style>
  <w:style w:type="character" w:customStyle="1" w:styleId="WW8Num11z2">
    <w:name w:val="WW8Num11z2"/>
    <w:qFormat/>
    <w:rsid w:val="002C539C"/>
    <w:rPr>
      <w:rFonts w:ascii="Wingdings" w:hAnsi="Wingdings" w:cs="Wingdings"/>
    </w:rPr>
  </w:style>
  <w:style w:type="character" w:customStyle="1" w:styleId="WW8Num11z3">
    <w:name w:val="WW8Num11z3"/>
    <w:qFormat/>
    <w:rsid w:val="002C539C"/>
    <w:rPr>
      <w:rFonts w:ascii="Symbol" w:hAnsi="Symbol" w:cs="Symbol"/>
    </w:rPr>
  </w:style>
  <w:style w:type="character" w:customStyle="1" w:styleId="WW8Num12z0">
    <w:name w:val="WW8Num12z0"/>
    <w:qFormat/>
    <w:rsid w:val="002C539C"/>
    <w:rPr>
      <w:rFonts w:ascii="Courier New" w:hAnsi="Courier New" w:cs="Courier New"/>
    </w:rPr>
  </w:style>
  <w:style w:type="character" w:customStyle="1" w:styleId="WW8Num12z2">
    <w:name w:val="WW8Num12z2"/>
    <w:qFormat/>
    <w:rsid w:val="002C539C"/>
    <w:rPr>
      <w:rFonts w:ascii="Wingdings" w:hAnsi="Wingdings" w:cs="Wingdings"/>
    </w:rPr>
  </w:style>
  <w:style w:type="character" w:customStyle="1" w:styleId="WW8Num12z3">
    <w:name w:val="WW8Num12z3"/>
    <w:qFormat/>
    <w:rsid w:val="002C539C"/>
    <w:rPr>
      <w:rFonts w:ascii="Symbol" w:hAnsi="Symbol" w:cs="Symbol"/>
    </w:rPr>
  </w:style>
  <w:style w:type="character" w:customStyle="1" w:styleId="WW8Num13z0">
    <w:name w:val="WW8Num13z0"/>
    <w:qFormat/>
    <w:rsid w:val="002C539C"/>
    <w:rPr>
      <w:rFonts w:ascii="Courier New" w:hAnsi="Courier New" w:cs="Courier New"/>
    </w:rPr>
  </w:style>
  <w:style w:type="character" w:customStyle="1" w:styleId="WW8Num13z2">
    <w:name w:val="WW8Num13z2"/>
    <w:qFormat/>
    <w:rsid w:val="002C539C"/>
    <w:rPr>
      <w:rFonts w:ascii="Wingdings" w:hAnsi="Wingdings" w:cs="Wingdings"/>
    </w:rPr>
  </w:style>
  <w:style w:type="character" w:customStyle="1" w:styleId="WW8Num13z3">
    <w:name w:val="WW8Num13z3"/>
    <w:qFormat/>
    <w:rsid w:val="002C539C"/>
    <w:rPr>
      <w:rFonts w:ascii="Symbol" w:hAnsi="Symbol" w:cs="Symbol"/>
    </w:rPr>
  </w:style>
  <w:style w:type="character" w:customStyle="1" w:styleId="WW8Num14z0">
    <w:name w:val="WW8Num14z0"/>
    <w:qFormat/>
    <w:rsid w:val="002C539C"/>
    <w:rPr>
      <w:rFonts w:ascii="Courier New" w:hAnsi="Courier New" w:cs="Courier New"/>
    </w:rPr>
  </w:style>
  <w:style w:type="character" w:customStyle="1" w:styleId="WW8Num14z2">
    <w:name w:val="WW8Num14z2"/>
    <w:qFormat/>
    <w:rsid w:val="002C539C"/>
    <w:rPr>
      <w:rFonts w:ascii="Wingdings" w:hAnsi="Wingdings" w:cs="Wingdings"/>
    </w:rPr>
  </w:style>
  <w:style w:type="character" w:customStyle="1" w:styleId="WW8Num14z3">
    <w:name w:val="WW8Num14z3"/>
    <w:qFormat/>
    <w:rsid w:val="002C539C"/>
    <w:rPr>
      <w:rFonts w:ascii="Symbol" w:hAnsi="Symbol" w:cs="Symbol"/>
    </w:rPr>
  </w:style>
  <w:style w:type="character" w:customStyle="1" w:styleId="WW8Num15z0">
    <w:name w:val="WW8Num15z0"/>
    <w:qFormat/>
    <w:rsid w:val="002C539C"/>
  </w:style>
  <w:style w:type="character" w:customStyle="1" w:styleId="WW8Num15z1">
    <w:name w:val="WW8Num15z1"/>
    <w:qFormat/>
    <w:rsid w:val="002C539C"/>
  </w:style>
  <w:style w:type="character" w:customStyle="1" w:styleId="WW8Num15z2">
    <w:name w:val="WW8Num15z2"/>
    <w:qFormat/>
    <w:rsid w:val="002C539C"/>
  </w:style>
  <w:style w:type="character" w:customStyle="1" w:styleId="WW8Num15z3">
    <w:name w:val="WW8Num15z3"/>
    <w:qFormat/>
    <w:rsid w:val="002C539C"/>
  </w:style>
  <w:style w:type="character" w:customStyle="1" w:styleId="WW8Num15z4">
    <w:name w:val="WW8Num15z4"/>
    <w:qFormat/>
    <w:rsid w:val="002C539C"/>
  </w:style>
  <w:style w:type="character" w:customStyle="1" w:styleId="WW8Num15z5">
    <w:name w:val="WW8Num15z5"/>
    <w:qFormat/>
    <w:rsid w:val="002C539C"/>
  </w:style>
  <w:style w:type="character" w:customStyle="1" w:styleId="WW8Num15z6">
    <w:name w:val="WW8Num15z6"/>
    <w:qFormat/>
    <w:rsid w:val="002C539C"/>
  </w:style>
  <w:style w:type="character" w:customStyle="1" w:styleId="WW8Num15z7">
    <w:name w:val="WW8Num15z7"/>
    <w:qFormat/>
    <w:rsid w:val="002C539C"/>
  </w:style>
  <w:style w:type="character" w:customStyle="1" w:styleId="WW8Num15z8">
    <w:name w:val="WW8Num15z8"/>
    <w:qFormat/>
    <w:rsid w:val="002C539C"/>
  </w:style>
  <w:style w:type="character" w:customStyle="1" w:styleId="WW8Num16z0">
    <w:name w:val="WW8Num16z0"/>
    <w:qFormat/>
    <w:rsid w:val="002C539C"/>
    <w:rPr>
      <w:rFonts w:ascii="Courier New" w:hAnsi="Courier New" w:cs="Courier New"/>
    </w:rPr>
  </w:style>
  <w:style w:type="character" w:customStyle="1" w:styleId="WW8Num16z2">
    <w:name w:val="WW8Num16z2"/>
    <w:qFormat/>
    <w:rsid w:val="002C539C"/>
    <w:rPr>
      <w:rFonts w:ascii="Wingdings" w:hAnsi="Wingdings" w:cs="Wingdings"/>
    </w:rPr>
  </w:style>
  <w:style w:type="character" w:customStyle="1" w:styleId="WW8Num16z3">
    <w:name w:val="WW8Num16z3"/>
    <w:qFormat/>
    <w:rsid w:val="002C539C"/>
    <w:rPr>
      <w:rFonts w:ascii="Symbol" w:hAnsi="Symbol" w:cs="Symbol"/>
    </w:rPr>
  </w:style>
  <w:style w:type="character" w:customStyle="1" w:styleId="WW8Num17z0">
    <w:name w:val="WW8Num17z0"/>
    <w:qFormat/>
    <w:rsid w:val="002C539C"/>
  </w:style>
  <w:style w:type="character" w:customStyle="1" w:styleId="WW8Num18z0">
    <w:name w:val="WW8Num18z0"/>
    <w:qFormat/>
    <w:rsid w:val="002C539C"/>
  </w:style>
  <w:style w:type="character" w:customStyle="1" w:styleId="WW8Num19z0">
    <w:name w:val="WW8Num19z0"/>
    <w:qFormat/>
    <w:rsid w:val="002C539C"/>
    <w:rPr>
      <w:rFonts w:ascii="Symbol" w:hAnsi="Symbol" w:cs="Symbol"/>
    </w:rPr>
  </w:style>
  <w:style w:type="character" w:customStyle="1" w:styleId="WW8Num19z1">
    <w:name w:val="WW8Num19z1"/>
    <w:qFormat/>
    <w:rsid w:val="002C539C"/>
    <w:rPr>
      <w:rFonts w:ascii="Courier New" w:hAnsi="Courier New" w:cs="Courier New"/>
    </w:rPr>
  </w:style>
  <w:style w:type="character" w:customStyle="1" w:styleId="WW8Num19z2">
    <w:name w:val="WW8Num19z2"/>
    <w:qFormat/>
    <w:rsid w:val="002C539C"/>
    <w:rPr>
      <w:rFonts w:ascii="Wingdings" w:hAnsi="Wingdings" w:cs="Wingdings"/>
    </w:rPr>
  </w:style>
  <w:style w:type="character" w:customStyle="1" w:styleId="WW8Num20z0">
    <w:name w:val="WW8Num20z0"/>
    <w:qFormat/>
    <w:rsid w:val="002C539C"/>
    <w:rPr>
      <w:rFonts w:ascii="Times New Roman" w:hAnsi="Times New Roman" w:cs="Times New Roman"/>
      <w:b/>
      <w:i w:val="0"/>
      <w:sz w:val="28"/>
      <w:szCs w:val="28"/>
    </w:rPr>
  </w:style>
  <w:style w:type="character" w:customStyle="1" w:styleId="WW8Num20z1">
    <w:name w:val="WW8Num20z1"/>
    <w:qFormat/>
    <w:rsid w:val="002C539C"/>
    <w:rPr>
      <w:rFonts w:ascii="Courier New" w:hAnsi="Courier New" w:cs="Courier New"/>
    </w:rPr>
  </w:style>
  <w:style w:type="character" w:customStyle="1" w:styleId="WW8Num20z2">
    <w:name w:val="WW8Num20z2"/>
    <w:qFormat/>
    <w:rsid w:val="002C539C"/>
    <w:rPr>
      <w:rFonts w:ascii="Wingdings" w:hAnsi="Wingdings" w:cs="Wingdings"/>
    </w:rPr>
  </w:style>
  <w:style w:type="character" w:customStyle="1" w:styleId="WW8Num20z3">
    <w:name w:val="WW8Num20z3"/>
    <w:qFormat/>
    <w:rsid w:val="002C539C"/>
    <w:rPr>
      <w:rFonts w:ascii="Symbol" w:hAnsi="Symbol" w:cs="Symbol"/>
    </w:rPr>
  </w:style>
  <w:style w:type="character" w:customStyle="1" w:styleId="WW8Num21z0">
    <w:name w:val="WW8Num21z0"/>
    <w:qFormat/>
    <w:rsid w:val="002C539C"/>
    <w:rPr>
      <w:rFonts w:ascii="Courier New" w:hAnsi="Courier New" w:cs="Courier New"/>
    </w:rPr>
  </w:style>
  <w:style w:type="character" w:customStyle="1" w:styleId="WW8Num21z2">
    <w:name w:val="WW8Num21z2"/>
    <w:qFormat/>
    <w:rsid w:val="002C539C"/>
    <w:rPr>
      <w:rFonts w:ascii="Wingdings" w:hAnsi="Wingdings" w:cs="Wingdings"/>
    </w:rPr>
  </w:style>
  <w:style w:type="character" w:customStyle="1" w:styleId="WW8Num21z3">
    <w:name w:val="WW8Num21z3"/>
    <w:qFormat/>
    <w:rsid w:val="002C539C"/>
    <w:rPr>
      <w:rFonts w:ascii="Symbol" w:hAnsi="Symbol" w:cs="Symbol"/>
    </w:rPr>
  </w:style>
  <w:style w:type="character" w:customStyle="1" w:styleId="WW8Num22z0">
    <w:name w:val="WW8Num22z0"/>
    <w:qFormat/>
    <w:rsid w:val="002C539C"/>
    <w:rPr>
      <w:rFonts w:ascii="Courier New" w:hAnsi="Courier New" w:cs="Courier New"/>
    </w:rPr>
  </w:style>
  <w:style w:type="character" w:customStyle="1" w:styleId="WW8Num22z2">
    <w:name w:val="WW8Num22z2"/>
    <w:qFormat/>
    <w:rsid w:val="002C539C"/>
    <w:rPr>
      <w:rFonts w:ascii="Wingdings" w:hAnsi="Wingdings" w:cs="Wingdings"/>
    </w:rPr>
  </w:style>
  <w:style w:type="character" w:customStyle="1" w:styleId="WW8Num22z3">
    <w:name w:val="WW8Num22z3"/>
    <w:qFormat/>
    <w:rsid w:val="002C539C"/>
    <w:rPr>
      <w:rFonts w:ascii="Symbol" w:hAnsi="Symbol" w:cs="Symbol"/>
    </w:rPr>
  </w:style>
  <w:style w:type="character" w:customStyle="1" w:styleId="WW8Num23z0">
    <w:name w:val="WW8Num23z0"/>
    <w:qFormat/>
    <w:rsid w:val="002C539C"/>
    <w:rPr>
      <w:rFonts w:ascii="Courier New" w:hAnsi="Courier New" w:cs="Courier New"/>
    </w:rPr>
  </w:style>
  <w:style w:type="character" w:customStyle="1" w:styleId="WW8Num23z2">
    <w:name w:val="WW8Num23z2"/>
    <w:qFormat/>
    <w:rsid w:val="002C539C"/>
    <w:rPr>
      <w:rFonts w:ascii="Wingdings" w:hAnsi="Wingdings" w:cs="Wingdings"/>
    </w:rPr>
  </w:style>
  <w:style w:type="character" w:customStyle="1" w:styleId="WW8Num23z3">
    <w:name w:val="WW8Num23z3"/>
    <w:qFormat/>
    <w:rsid w:val="002C539C"/>
    <w:rPr>
      <w:rFonts w:ascii="Symbol" w:hAnsi="Symbol" w:cs="Symbol"/>
    </w:rPr>
  </w:style>
  <w:style w:type="character" w:customStyle="1" w:styleId="WW8Num24z0">
    <w:name w:val="WW8Num24z0"/>
    <w:qFormat/>
    <w:rsid w:val="002C539C"/>
    <w:rPr>
      <w:rFonts w:ascii="Symbol" w:hAnsi="Symbol" w:cs="Symbol"/>
    </w:rPr>
  </w:style>
  <w:style w:type="character" w:customStyle="1" w:styleId="WW8Num24z1">
    <w:name w:val="WW8Num24z1"/>
    <w:qFormat/>
    <w:rsid w:val="002C539C"/>
    <w:rPr>
      <w:rFonts w:ascii="Courier New" w:hAnsi="Courier New" w:cs="Courier New"/>
    </w:rPr>
  </w:style>
  <w:style w:type="character" w:customStyle="1" w:styleId="WW8Num24z2">
    <w:name w:val="WW8Num24z2"/>
    <w:qFormat/>
    <w:rsid w:val="002C539C"/>
    <w:rPr>
      <w:rFonts w:ascii="Wingdings" w:hAnsi="Wingdings" w:cs="Wingdings"/>
    </w:rPr>
  </w:style>
  <w:style w:type="character" w:customStyle="1" w:styleId="WW8Num25z0">
    <w:name w:val="WW8Num25z0"/>
    <w:qFormat/>
    <w:rsid w:val="002C539C"/>
    <w:rPr>
      <w:rFonts w:ascii="Courier New" w:hAnsi="Courier New" w:cs="Courier New"/>
    </w:rPr>
  </w:style>
  <w:style w:type="character" w:customStyle="1" w:styleId="WW8Num25z2">
    <w:name w:val="WW8Num25z2"/>
    <w:qFormat/>
    <w:rsid w:val="002C539C"/>
    <w:rPr>
      <w:rFonts w:ascii="Wingdings" w:hAnsi="Wingdings" w:cs="Wingdings"/>
    </w:rPr>
  </w:style>
  <w:style w:type="character" w:customStyle="1" w:styleId="WW8Num25z3">
    <w:name w:val="WW8Num25z3"/>
    <w:qFormat/>
    <w:rsid w:val="002C539C"/>
    <w:rPr>
      <w:rFonts w:ascii="Symbol" w:hAnsi="Symbol" w:cs="Symbol"/>
    </w:rPr>
  </w:style>
  <w:style w:type="character" w:customStyle="1" w:styleId="WW8Num26z0">
    <w:name w:val="WW8Num26z0"/>
    <w:qFormat/>
    <w:rsid w:val="002C539C"/>
    <w:rPr>
      <w:rFonts w:ascii="Courier New" w:hAnsi="Courier New" w:cs="Courier New"/>
    </w:rPr>
  </w:style>
  <w:style w:type="character" w:customStyle="1" w:styleId="WW8Num26z2">
    <w:name w:val="WW8Num26z2"/>
    <w:qFormat/>
    <w:rsid w:val="002C539C"/>
    <w:rPr>
      <w:rFonts w:ascii="Wingdings" w:hAnsi="Wingdings" w:cs="Wingdings"/>
    </w:rPr>
  </w:style>
  <w:style w:type="character" w:customStyle="1" w:styleId="WW8Num26z3">
    <w:name w:val="WW8Num26z3"/>
    <w:qFormat/>
    <w:rsid w:val="002C539C"/>
    <w:rPr>
      <w:rFonts w:ascii="Symbol" w:hAnsi="Symbol" w:cs="Symbol"/>
    </w:rPr>
  </w:style>
  <w:style w:type="character" w:customStyle="1" w:styleId="WW8Num27z0">
    <w:name w:val="WW8Num27z0"/>
    <w:qFormat/>
    <w:rsid w:val="002C539C"/>
    <w:rPr>
      <w:rFonts w:ascii="Courier New" w:hAnsi="Courier New" w:cs="Courier New"/>
    </w:rPr>
  </w:style>
  <w:style w:type="character" w:customStyle="1" w:styleId="WW8Num27z2">
    <w:name w:val="WW8Num27z2"/>
    <w:qFormat/>
    <w:rsid w:val="002C539C"/>
    <w:rPr>
      <w:rFonts w:ascii="Wingdings" w:hAnsi="Wingdings" w:cs="Wingdings"/>
    </w:rPr>
  </w:style>
  <w:style w:type="character" w:customStyle="1" w:styleId="WW8Num27z3">
    <w:name w:val="WW8Num27z3"/>
    <w:qFormat/>
    <w:rsid w:val="002C539C"/>
    <w:rPr>
      <w:rFonts w:ascii="Symbol" w:hAnsi="Symbol" w:cs="Symbol"/>
    </w:rPr>
  </w:style>
  <w:style w:type="character" w:customStyle="1" w:styleId="WW8Num28z0">
    <w:name w:val="WW8Num28z0"/>
    <w:qFormat/>
    <w:rsid w:val="002C539C"/>
    <w:rPr>
      <w:rFonts w:ascii="Courier New" w:hAnsi="Courier New" w:cs="Courier New"/>
    </w:rPr>
  </w:style>
  <w:style w:type="character" w:customStyle="1" w:styleId="WW8Num28z2">
    <w:name w:val="WW8Num28z2"/>
    <w:qFormat/>
    <w:rsid w:val="002C539C"/>
    <w:rPr>
      <w:rFonts w:ascii="Wingdings" w:hAnsi="Wingdings" w:cs="Wingdings"/>
    </w:rPr>
  </w:style>
  <w:style w:type="character" w:customStyle="1" w:styleId="WW8Num28z3">
    <w:name w:val="WW8Num28z3"/>
    <w:qFormat/>
    <w:rsid w:val="002C539C"/>
    <w:rPr>
      <w:rFonts w:ascii="Symbol" w:hAnsi="Symbol" w:cs="Symbol"/>
    </w:rPr>
  </w:style>
  <w:style w:type="character" w:customStyle="1" w:styleId="WW8Num29z0">
    <w:name w:val="WW8Num29z0"/>
    <w:qFormat/>
    <w:rsid w:val="002C539C"/>
  </w:style>
  <w:style w:type="character" w:customStyle="1" w:styleId="WW8Num30z0">
    <w:name w:val="WW8Num30z0"/>
    <w:qFormat/>
    <w:rsid w:val="002C539C"/>
  </w:style>
  <w:style w:type="character" w:customStyle="1" w:styleId="WW8Num30z1">
    <w:name w:val="WW8Num30z1"/>
    <w:qFormat/>
    <w:rsid w:val="002C539C"/>
  </w:style>
  <w:style w:type="character" w:customStyle="1" w:styleId="WW8Num30z2">
    <w:name w:val="WW8Num30z2"/>
    <w:qFormat/>
    <w:rsid w:val="002C539C"/>
  </w:style>
  <w:style w:type="character" w:customStyle="1" w:styleId="WW8Num30z3">
    <w:name w:val="WW8Num30z3"/>
    <w:qFormat/>
    <w:rsid w:val="002C539C"/>
  </w:style>
  <w:style w:type="character" w:customStyle="1" w:styleId="WW8Num30z4">
    <w:name w:val="WW8Num30z4"/>
    <w:qFormat/>
    <w:rsid w:val="002C539C"/>
  </w:style>
  <w:style w:type="character" w:customStyle="1" w:styleId="WW8Num30z5">
    <w:name w:val="WW8Num30z5"/>
    <w:qFormat/>
    <w:rsid w:val="002C539C"/>
  </w:style>
  <w:style w:type="character" w:customStyle="1" w:styleId="WW8Num30z6">
    <w:name w:val="WW8Num30z6"/>
    <w:qFormat/>
    <w:rsid w:val="002C539C"/>
  </w:style>
  <w:style w:type="character" w:customStyle="1" w:styleId="WW8Num30z7">
    <w:name w:val="WW8Num30z7"/>
    <w:qFormat/>
    <w:rsid w:val="002C539C"/>
  </w:style>
  <w:style w:type="character" w:customStyle="1" w:styleId="WW8Num30z8">
    <w:name w:val="WW8Num30z8"/>
    <w:qFormat/>
    <w:rsid w:val="002C539C"/>
  </w:style>
  <w:style w:type="character" w:customStyle="1" w:styleId="WW8Num31z0">
    <w:name w:val="WW8Num31z0"/>
    <w:qFormat/>
    <w:rsid w:val="002C539C"/>
    <w:rPr>
      <w:rFonts w:ascii="Symbol" w:eastAsia="Times New Roman" w:hAnsi="Symbol" w:cs="Times New Roman"/>
    </w:rPr>
  </w:style>
  <w:style w:type="character" w:customStyle="1" w:styleId="WW8Num31z1">
    <w:name w:val="WW8Num31z1"/>
    <w:qFormat/>
    <w:rsid w:val="002C539C"/>
    <w:rPr>
      <w:rFonts w:ascii="Courier New" w:hAnsi="Courier New" w:cs="Courier New"/>
    </w:rPr>
  </w:style>
  <w:style w:type="character" w:customStyle="1" w:styleId="WW8Num31z2">
    <w:name w:val="WW8Num31z2"/>
    <w:qFormat/>
    <w:rsid w:val="002C539C"/>
    <w:rPr>
      <w:rFonts w:ascii="Wingdings" w:hAnsi="Wingdings" w:cs="Wingdings"/>
    </w:rPr>
  </w:style>
  <w:style w:type="character" w:customStyle="1" w:styleId="WW8Num31z3">
    <w:name w:val="WW8Num31z3"/>
    <w:qFormat/>
    <w:rsid w:val="002C539C"/>
    <w:rPr>
      <w:rFonts w:ascii="Symbol" w:hAnsi="Symbol" w:cs="Symbol"/>
    </w:rPr>
  </w:style>
  <w:style w:type="character" w:customStyle="1" w:styleId="WW8Num32z0">
    <w:name w:val="WW8Num32z0"/>
    <w:qFormat/>
    <w:rsid w:val="002C539C"/>
    <w:rPr>
      <w:rFonts w:ascii="Symbol" w:hAnsi="Symbol" w:cs="Symbol"/>
    </w:rPr>
  </w:style>
  <w:style w:type="character" w:customStyle="1" w:styleId="WW8Num32z1">
    <w:name w:val="WW8Num32z1"/>
    <w:qFormat/>
    <w:rsid w:val="002C539C"/>
    <w:rPr>
      <w:rFonts w:ascii="Courier New" w:hAnsi="Courier New" w:cs="Courier New"/>
    </w:rPr>
  </w:style>
  <w:style w:type="character" w:customStyle="1" w:styleId="WW8Num32z2">
    <w:name w:val="WW8Num32z2"/>
    <w:qFormat/>
    <w:rsid w:val="002C539C"/>
    <w:rPr>
      <w:rFonts w:ascii="Wingdings" w:hAnsi="Wingdings" w:cs="Wingdings"/>
    </w:rPr>
  </w:style>
  <w:style w:type="character" w:customStyle="1" w:styleId="WW8Num33z0">
    <w:name w:val="WW8Num33z0"/>
    <w:qFormat/>
    <w:rsid w:val="002C539C"/>
    <w:rPr>
      <w:rFonts w:ascii="Calibri" w:eastAsia="Calibri" w:hAnsi="Calibri" w:cs="Times New Roman"/>
      <w:sz w:val="16"/>
      <w:szCs w:val="16"/>
      <w:lang w:val="es-ES"/>
    </w:rPr>
  </w:style>
  <w:style w:type="character" w:customStyle="1" w:styleId="WW8Num33z1">
    <w:name w:val="WW8Num33z1"/>
    <w:qFormat/>
    <w:rsid w:val="002C539C"/>
    <w:rPr>
      <w:rFonts w:ascii="Courier New" w:hAnsi="Courier New" w:cs="Courier New"/>
    </w:rPr>
  </w:style>
  <w:style w:type="character" w:customStyle="1" w:styleId="WW8Num33z2">
    <w:name w:val="WW8Num33z2"/>
    <w:qFormat/>
    <w:rsid w:val="002C539C"/>
    <w:rPr>
      <w:rFonts w:ascii="Wingdings" w:hAnsi="Wingdings" w:cs="Wingdings"/>
    </w:rPr>
  </w:style>
  <w:style w:type="character" w:customStyle="1" w:styleId="WW8Num33z3">
    <w:name w:val="WW8Num33z3"/>
    <w:qFormat/>
    <w:rsid w:val="002C539C"/>
    <w:rPr>
      <w:rFonts w:ascii="Symbol" w:hAnsi="Symbol" w:cs="Symbol"/>
    </w:rPr>
  </w:style>
  <w:style w:type="character" w:customStyle="1" w:styleId="WW8Num34z0">
    <w:name w:val="WW8Num34z0"/>
    <w:qFormat/>
    <w:rsid w:val="002C539C"/>
    <w:rPr>
      <w:rFonts w:ascii="Courier New" w:hAnsi="Courier New" w:cs="Courier New"/>
    </w:rPr>
  </w:style>
  <w:style w:type="character" w:customStyle="1" w:styleId="WW8Num34z2">
    <w:name w:val="WW8Num34z2"/>
    <w:qFormat/>
    <w:rsid w:val="002C539C"/>
    <w:rPr>
      <w:rFonts w:ascii="Wingdings" w:hAnsi="Wingdings" w:cs="Wingdings"/>
    </w:rPr>
  </w:style>
  <w:style w:type="character" w:customStyle="1" w:styleId="WW8Num34z3">
    <w:name w:val="WW8Num34z3"/>
    <w:qFormat/>
    <w:rsid w:val="002C539C"/>
    <w:rPr>
      <w:rFonts w:ascii="Symbol" w:hAnsi="Symbol" w:cs="Symbol"/>
    </w:rPr>
  </w:style>
  <w:style w:type="character" w:customStyle="1" w:styleId="WW8Num35z0">
    <w:name w:val="WW8Num35z0"/>
    <w:qFormat/>
    <w:rsid w:val="002C539C"/>
    <w:rPr>
      <w:rFonts w:ascii="Courier New" w:hAnsi="Courier New" w:cs="Courier New"/>
    </w:rPr>
  </w:style>
  <w:style w:type="character" w:customStyle="1" w:styleId="WW8Num35z2">
    <w:name w:val="WW8Num35z2"/>
    <w:qFormat/>
    <w:rsid w:val="002C539C"/>
    <w:rPr>
      <w:rFonts w:ascii="Wingdings" w:hAnsi="Wingdings" w:cs="Wingdings"/>
    </w:rPr>
  </w:style>
  <w:style w:type="character" w:customStyle="1" w:styleId="WW8Num35z3">
    <w:name w:val="WW8Num35z3"/>
    <w:qFormat/>
    <w:rsid w:val="002C539C"/>
    <w:rPr>
      <w:rFonts w:ascii="Symbol" w:hAnsi="Symbol" w:cs="Symbol"/>
    </w:rPr>
  </w:style>
  <w:style w:type="character" w:customStyle="1" w:styleId="WW8Num36z0">
    <w:name w:val="WW8Num36z0"/>
    <w:qFormat/>
    <w:rsid w:val="002C539C"/>
    <w:rPr>
      <w:rFonts w:ascii="Arial" w:hAnsi="Arial" w:cs="Arial"/>
      <w:sz w:val="16"/>
      <w:szCs w:val="16"/>
      <w:lang w:val="es-ES"/>
    </w:rPr>
  </w:style>
  <w:style w:type="character" w:customStyle="1" w:styleId="WW8Num36z1">
    <w:name w:val="WW8Num36z1"/>
    <w:qFormat/>
    <w:rsid w:val="002C539C"/>
  </w:style>
  <w:style w:type="character" w:customStyle="1" w:styleId="WW8Num36z2">
    <w:name w:val="WW8Num36z2"/>
    <w:qFormat/>
    <w:rsid w:val="002C539C"/>
  </w:style>
  <w:style w:type="character" w:customStyle="1" w:styleId="WW8Num36z3">
    <w:name w:val="WW8Num36z3"/>
    <w:qFormat/>
    <w:rsid w:val="002C539C"/>
  </w:style>
  <w:style w:type="character" w:customStyle="1" w:styleId="WW8Num36z4">
    <w:name w:val="WW8Num36z4"/>
    <w:qFormat/>
    <w:rsid w:val="002C539C"/>
  </w:style>
  <w:style w:type="character" w:customStyle="1" w:styleId="WW8Num36z5">
    <w:name w:val="WW8Num36z5"/>
    <w:qFormat/>
    <w:rsid w:val="002C539C"/>
  </w:style>
  <w:style w:type="character" w:customStyle="1" w:styleId="WW8Num36z6">
    <w:name w:val="WW8Num36z6"/>
    <w:qFormat/>
    <w:rsid w:val="002C539C"/>
  </w:style>
  <w:style w:type="character" w:customStyle="1" w:styleId="WW8Num36z7">
    <w:name w:val="WW8Num36z7"/>
    <w:qFormat/>
    <w:rsid w:val="002C539C"/>
  </w:style>
  <w:style w:type="character" w:customStyle="1" w:styleId="WW8Num36z8">
    <w:name w:val="WW8Num36z8"/>
    <w:qFormat/>
    <w:rsid w:val="002C539C"/>
  </w:style>
  <w:style w:type="character" w:customStyle="1" w:styleId="WW8Num37z0">
    <w:name w:val="WW8Num37z0"/>
    <w:qFormat/>
    <w:rsid w:val="002C539C"/>
    <w:rPr>
      <w:rFonts w:ascii="Times New Roman" w:hAnsi="Times New Roman" w:cs="Times New Roman"/>
      <w:b/>
      <w:i w:val="0"/>
      <w:sz w:val="28"/>
      <w:szCs w:val="28"/>
    </w:rPr>
  </w:style>
  <w:style w:type="character" w:customStyle="1" w:styleId="WW8Num37z1">
    <w:name w:val="WW8Num37z1"/>
    <w:qFormat/>
    <w:rsid w:val="002C539C"/>
    <w:rPr>
      <w:rFonts w:ascii="Courier New" w:hAnsi="Courier New" w:cs="Courier New"/>
    </w:rPr>
  </w:style>
  <w:style w:type="character" w:customStyle="1" w:styleId="WW8Num37z2">
    <w:name w:val="WW8Num37z2"/>
    <w:qFormat/>
    <w:rsid w:val="002C539C"/>
    <w:rPr>
      <w:rFonts w:ascii="Wingdings" w:hAnsi="Wingdings" w:cs="Wingdings"/>
    </w:rPr>
  </w:style>
  <w:style w:type="character" w:customStyle="1" w:styleId="WW8Num37z3">
    <w:name w:val="WW8Num37z3"/>
    <w:qFormat/>
    <w:rsid w:val="002C539C"/>
    <w:rPr>
      <w:rFonts w:ascii="Symbol" w:hAnsi="Symbol" w:cs="Symbol"/>
    </w:rPr>
  </w:style>
  <w:style w:type="character" w:customStyle="1" w:styleId="WW8Num38z0">
    <w:name w:val="WW8Num38z0"/>
    <w:qFormat/>
    <w:rsid w:val="002C539C"/>
    <w:rPr>
      <w:rFonts w:ascii="Times New Roman" w:hAnsi="Times New Roman" w:cs="Times New Roman"/>
      <w:b/>
      <w:i w:val="0"/>
      <w:sz w:val="28"/>
      <w:szCs w:val="28"/>
    </w:rPr>
  </w:style>
  <w:style w:type="character" w:customStyle="1" w:styleId="WW8Num38z1">
    <w:name w:val="WW8Num38z1"/>
    <w:qFormat/>
    <w:rsid w:val="002C539C"/>
    <w:rPr>
      <w:rFonts w:ascii="Courier New" w:hAnsi="Courier New" w:cs="Courier New"/>
    </w:rPr>
  </w:style>
  <w:style w:type="character" w:customStyle="1" w:styleId="WW8Num38z2">
    <w:name w:val="WW8Num38z2"/>
    <w:qFormat/>
    <w:rsid w:val="002C539C"/>
    <w:rPr>
      <w:rFonts w:ascii="Wingdings" w:hAnsi="Wingdings" w:cs="Wingdings"/>
    </w:rPr>
  </w:style>
  <w:style w:type="character" w:customStyle="1" w:styleId="WW8Num38z3">
    <w:name w:val="WW8Num38z3"/>
    <w:qFormat/>
    <w:rsid w:val="002C539C"/>
    <w:rPr>
      <w:rFonts w:ascii="Symbol" w:hAnsi="Symbol" w:cs="Symbol"/>
    </w:rPr>
  </w:style>
  <w:style w:type="character" w:customStyle="1" w:styleId="WW8Num39z0">
    <w:name w:val="WW8Num39z0"/>
    <w:qFormat/>
    <w:rsid w:val="002C539C"/>
    <w:rPr>
      <w:rFonts w:ascii="Times New Roman" w:hAnsi="Times New Roman" w:cs="Times New Roman"/>
      <w:b/>
      <w:i w:val="0"/>
      <w:sz w:val="28"/>
      <w:szCs w:val="28"/>
    </w:rPr>
  </w:style>
  <w:style w:type="character" w:customStyle="1" w:styleId="WW8Num39z1">
    <w:name w:val="WW8Num39z1"/>
    <w:qFormat/>
    <w:rsid w:val="002C539C"/>
    <w:rPr>
      <w:rFonts w:ascii="Courier New" w:hAnsi="Courier New" w:cs="Courier New"/>
    </w:rPr>
  </w:style>
  <w:style w:type="character" w:customStyle="1" w:styleId="WW8Num39z2">
    <w:name w:val="WW8Num39z2"/>
    <w:qFormat/>
    <w:rsid w:val="002C539C"/>
    <w:rPr>
      <w:rFonts w:ascii="Wingdings" w:hAnsi="Wingdings" w:cs="Wingdings"/>
    </w:rPr>
  </w:style>
  <w:style w:type="character" w:customStyle="1" w:styleId="WW8Num39z3">
    <w:name w:val="WW8Num39z3"/>
    <w:qFormat/>
    <w:rsid w:val="002C539C"/>
    <w:rPr>
      <w:rFonts w:ascii="Symbol" w:hAnsi="Symbol" w:cs="Symbol"/>
    </w:rPr>
  </w:style>
  <w:style w:type="character" w:customStyle="1" w:styleId="WW8Num40z0">
    <w:name w:val="WW8Num40z0"/>
    <w:qFormat/>
    <w:rsid w:val="002C539C"/>
    <w:rPr>
      <w:rFonts w:ascii="Calibri" w:eastAsia="Calibri" w:hAnsi="Calibri" w:cs="Times New Roman"/>
    </w:rPr>
  </w:style>
  <w:style w:type="character" w:customStyle="1" w:styleId="WW8Num40z1">
    <w:name w:val="WW8Num40z1"/>
    <w:qFormat/>
    <w:rsid w:val="002C539C"/>
    <w:rPr>
      <w:rFonts w:ascii="Courier New" w:hAnsi="Courier New" w:cs="Courier New"/>
    </w:rPr>
  </w:style>
  <w:style w:type="character" w:customStyle="1" w:styleId="WW8Num40z2">
    <w:name w:val="WW8Num40z2"/>
    <w:qFormat/>
    <w:rsid w:val="002C539C"/>
    <w:rPr>
      <w:rFonts w:ascii="Wingdings" w:hAnsi="Wingdings" w:cs="Wingdings"/>
    </w:rPr>
  </w:style>
  <w:style w:type="character" w:customStyle="1" w:styleId="WW8Num40z3">
    <w:name w:val="WW8Num40z3"/>
    <w:qFormat/>
    <w:rsid w:val="002C539C"/>
    <w:rPr>
      <w:rFonts w:ascii="Symbol" w:hAnsi="Symbol" w:cs="Symbol"/>
    </w:rPr>
  </w:style>
  <w:style w:type="character" w:customStyle="1" w:styleId="WW8Num41z0">
    <w:name w:val="WW8Num41z0"/>
    <w:qFormat/>
    <w:rsid w:val="002C539C"/>
    <w:rPr>
      <w:rFonts w:ascii="Times New Roman" w:hAnsi="Times New Roman" w:cs="Times New Roman"/>
    </w:rPr>
  </w:style>
  <w:style w:type="character" w:customStyle="1" w:styleId="WW8Num42z0">
    <w:name w:val="WW8Num42z0"/>
    <w:qFormat/>
    <w:rsid w:val="002C539C"/>
    <w:rPr>
      <w:rFonts w:ascii="Calibri" w:eastAsia="Calibri" w:hAnsi="Calibri" w:cs="Times New Roman"/>
      <w:sz w:val="16"/>
      <w:lang w:val="es-ES"/>
    </w:rPr>
  </w:style>
  <w:style w:type="character" w:customStyle="1" w:styleId="WW8Num42z1">
    <w:name w:val="WW8Num42z1"/>
    <w:qFormat/>
    <w:rsid w:val="002C539C"/>
    <w:rPr>
      <w:rFonts w:ascii="Courier New" w:hAnsi="Courier New" w:cs="Courier New"/>
    </w:rPr>
  </w:style>
  <w:style w:type="character" w:customStyle="1" w:styleId="WW8Num42z2">
    <w:name w:val="WW8Num42z2"/>
    <w:qFormat/>
    <w:rsid w:val="002C539C"/>
    <w:rPr>
      <w:rFonts w:ascii="Wingdings" w:hAnsi="Wingdings" w:cs="Wingdings"/>
    </w:rPr>
  </w:style>
  <w:style w:type="character" w:customStyle="1" w:styleId="WW8Num42z3">
    <w:name w:val="WW8Num42z3"/>
    <w:qFormat/>
    <w:rsid w:val="002C539C"/>
    <w:rPr>
      <w:rFonts w:ascii="Symbol" w:hAnsi="Symbol" w:cs="Symbol"/>
    </w:rPr>
  </w:style>
  <w:style w:type="character" w:customStyle="1" w:styleId="Fuentedeprrafopredeter1">
    <w:name w:val="Fuente de párrafo predeter.1"/>
    <w:qFormat/>
    <w:rsid w:val="002C539C"/>
  </w:style>
  <w:style w:type="character" w:styleId="Nmerodepgina">
    <w:name w:val="page number"/>
    <w:basedOn w:val="Fuentedeprrafopredeter1"/>
    <w:qFormat/>
    <w:rsid w:val="002C539C"/>
  </w:style>
  <w:style w:type="character" w:customStyle="1" w:styleId="CarCar">
    <w:name w:val="Car Car"/>
    <w:basedOn w:val="Fuentedeprrafopredeter1"/>
    <w:qFormat/>
    <w:rsid w:val="002C539C"/>
    <w:rPr>
      <w:rFonts w:ascii="Tahoma" w:hAnsi="Tahoma" w:cs="Tahoma"/>
      <w:sz w:val="16"/>
      <w:szCs w:val="16"/>
      <w:lang w:val="en-US"/>
    </w:rPr>
  </w:style>
  <w:style w:type="character" w:styleId="Textoennegrita">
    <w:name w:val="Strong"/>
    <w:basedOn w:val="Fuentedeprrafopredeter1"/>
    <w:qFormat/>
    <w:rsid w:val="002C539C"/>
    <w:rPr>
      <w:b/>
      <w:bCs/>
    </w:rPr>
  </w:style>
  <w:style w:type="character" w:styleId="Refdenotaalpie">
    <w:name w:val="footnote reference"/>
    <w:uiPriority w:val="99"/>
    <w:qFormat/>
    <w:rsid w:val="002C539C"/>
    <w:rPr>
      <w:vertAlign w:val="superscript"/>
    </w:rPr>
  </w:style>
  <w:style w:type="character" w:styleId="Refdenotaalfinal">
    <w:name w:val="endnote reference"/>
    <w:qFormat/>
    <w:rsid w:val="002C539C"/>
    <w:rPr>
      <w:vertAlign w:val="superscript"/>
    </w:rPr>
  </w:style>
  <w:style w:type="character" w:customStyle="1" w:styleId="Caracteresdenotafinal">
    <w:name w:val="Caracteres de nota final"/>
    <w:qFormat/>
    <w:rsid w:val="002C539C"/>
  </w:style>
  <w:style w:type="character" w:customStyle="1" w:styleId="TextonotapieCar">
    <w:name w:val="Texto nota pie Car"/>
    <w:basedOn w:val="Fuentedeprrafopredeter"/>
    <w:link w:val="Textonotapie"/>
    <w:qFormat/>
    <w:rsid w:val="002C539C"/>
    <w:rPr>
      <w:lang w:val="en-US" w:eastAsia="zh-CN"/>
    </w:rPr>
  </w:style>
  <w:style w:type="character" w:customStyle="1" w:styleId="WW8Num33z4">
    <w:name w:val="WW8Num33z4"/>
    <w:qFormat/>
    <w:rsid w:val="002C539C"/>
  </w:style>
  <w:style w:type="character" w:customStyle="1" w:styleId="textoazul1accesiblenormal">
    <w:name w:val="textoazul1accesible normal"/>
    <w:basedOn w:val="Fuentedeprrafopredeter1"/>
    <w:qFormat/>
    <w:rsid w:val="00675A34"/>
  </w:style>
  <w:style w:type="character" w:customStyle="1" w:styleId="TextoindependienteCar">
    <w:name w:val="Texto independiente Car"/>
    <w:basedOn w:val="Fuentedeprrafopredeter"/>
    <w:link w:val="Textoindependiente"/>
    <w:qFormat/>
    <w:rsid w:val="00812096"/>
    <w:rPr>
      <w:color w:val="00000A"/>
      <w:sz w:val="18"/>
      <w:szCs w:val="18"/>
      <w:lang w:eastAsia="zh-CN"/>
    </w:rPr>
  </w:style>
  <w:style w:type="character" w:customStyle="1" w:styleId="ListLabel46">
    <w:name w:val="ListLabel 46"/>
    <w:qFormat/>
    <w:rPr>
      <w:rFonts w:cs="Symbol"/>
      <w:b/>
    </w:rPr>
  </w:style>
  <w:style w:type="character" w:customStyle="1" w:styleId="ListLabel47">
    <w:name w:val="ListLabel 47"/>
    <w:qFormat/>
    <w:rPr>
      <w:rFonts w:cs="OpenSymbol"/>
      <w:b/>
    </w:rPr>
  </w:style>
  <w:style w:type="character" w:customStyle="1" w:styleId="ListLabel48">
    <w:name w:val="ListLabel 48"/>
    <w:qFormat/>
    <w:rPr>
      <w:rFonts w:cs="OpenSymbol"/>
      <w:b/>
    </w:rPr>
  </w:style>
  <w:style w:type="character" w:customStyle="1" w:styleId="ListLabel49">
    <w:name w:val="ListLabel 49"/>
    <w:qFormat/>
    <w:rPr>
      <w:rFonts w:cs="OpenSymbol"/>
      <w:b/>
    </w:rPr>
  </w:style>
  <w:style w:type="character" w:customStyle="1" w:styleId="ListLabel50">
    <w:name w:val="ListLabel 50"/>
    <w:qFormat/>
    <w:rPr>
      <w:rFonts w:cs="OpenSymbol"/>
      <w:b/>
    </w:rPr>
  </w:style>
  <w:style w:type="character" w:customStyle="1" w:styleId="ListLabel51">
    <w:name w:val="ListLabel 51"/>
    <w:qFormat/>
    <w:rPr>
      <w:rFonts w:cs="OpenSymbol"/>
      <w:b/>
    </w:rPr>
  </w:style>
  <w:style w:type="character" w:customStyle="1" w:styleId="ListLabel52">
    <w:name w:val="ListLabel 52"/>
    <w:qFormat/>
    <w:rPr>
      <w:rFonts w:ascii="Arial Narrow" w:hAnsi="Arial Narrow" w:cs="Symbol"/>
      <w:color w:val="00000A"/>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strike w:val="0"/>
      <w:dstrike w:val="0"/>
      <w:color w:val="00000A"/>
    </w:rPr>
  </w:style>
  <w:style w:type="character" w:customStyle="1" w:styleId="ListLabel62">
    <w:name w:val="ListLabel 62"/>
    <w:qFormat/>
    <w:rPr>
      <w:rFonts w:cs="Courier New"/>
      <w:strike w:val="0"/>
      <w:dstrike w:val="0"/>
      <w:color w:val="00000A"/>
      <w:sz w:val="22"/>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strike w:val="0"/>
      <w:dstrike w:val="0"/>
      <w:color w:val="00000A"/>
    </w:rPr>
  </w:style>
  <w:style w:type="character" w:customStyle="1" w:styleId="ListLabel71">
    <w:name w:val="ListLabel 71"/>
    <w:qFormat/>
    <w:rPr>
      <w:rFonts w:cs="Courier New"/>
      <w:strike w:val="0"/>
      <w:dstrike w:val="0"/>
      <w:color w:val="00000A"/>
      <w:sz w:val="22"/>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Symbol"/>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ascii="Arial" w:hAnsi="Arial" w:cs="Courier New"/>
      <w:sz w:val="20"/>
    </w:rPr>
  </w:style>
  <w:style w:type="character" w:customStyle="1" w:styleId="ListLabel98">
    <w:name w:val="ListLabel 98"/>
    <w:qFormat/>
    <w:rPr>
      <w:rFonts w:ascii="Arial" w:hAnsi="Arial" w:cs="Courier New"/>
      <w:sz w:val="16"/>
    </w:rPr>
  </w:style>
  <w:style w:type="character" w:customStyle="1" w:styleId="ListLabel99">
    <w:name w:val="ListLabel 99"/>
    <w:qFormat/>
    <w:rPr>
      <w:rFonts w:cs="Times New Roman"/>
      <w:sz w:val="20"/>
    </w:rPr>
  </w:style>
  <w:style w:type="character" w:customStyle="1" w:styleId="ListLabel100">
    <w:name w:val="ListLabel 100"/>
    <w:qFormat/>
    <w:rPr>
      <w:rFonts w:ascii="Arial" w:hAnsi="Arial" w:cs="Times New Roman"/>
      <w:b/>
      <w:sz w:val="20"/>
    </w:rPr>
  </w:style>
  <w:style w:type="character" w:customStyle="1" w:styleId="ListLabel101">
    <w:name w:val="ListLabel 101"/>
    <w:qFormat/>
    <w:rPr>
      <w:rFonts w:ascii="Arial" w:hAnsi="Arial" w:cs="Times New Roman"/>
      <w:sz w:val="20"/>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Courier New"/>
    </w:rPr>
  </w:style>
  <w:style w:type="character" w:customStyle="1" w:styleId="ListLabel118">
    <w:name w:val="ListLabel 118"/>
    <w:qFormat/>
    <w:rPr>
      <w:rFonts w:cs="Courier New"/>
    </w:rPr>
  </w:style>
  <w:style w:type="character" w:customStyle="1" w:styleId="ListLabel119">
    <w:name w:val="ListLabel 119"/>
    <w:qFormat/>
    <w:rPr>
      <w:rFonts w:cs="Courier New"/>
    </w:rPr>
  </w:style>
  <w:style w:type="character" w:customStyle="1" w:styleId="ListLabel120">
    <w:name w:val="ListLabel 120"/>
    <w:qFormat/>
    <w:rPr>
      <w:rFonts w:cs="Courier New"/>
    </w:rPr>
  </w:style>
  <w:style w:type="character" w:customStyle="1" w:styleId="ListLabel121">
    <w:name w:val="ListLabel 121"/>
    <w:qFormat/>
    <w:rPr>
      <w:rFonts w:cs="Courier New"/>
    </w:rPr>
  </w:style>
  <w:style w:type="character" w:customStyle="1" w:styleId="Ancladenotaalpie">
    <w:name w:val="Ancla de nota al pie"/>
    <w:rPr>
      <w:vertAlign w:val="superscript"/>
    </w:rPr>
  </w:style>
  <w:style w:type="character" w:customStyle="1" w:styleId="Ancladenotafinal">
    <w:name w:val="Ancla de nota final"/>
    <w:rPr>
      <w:vertAlign w:val="superscript"/>
    </w:rPr>
  </w:style>
  <w:style w:type="character" w:customStyle="1" w:styleId="ListLabel122">
    <w:name w:val="ListLabel 122"/>
    <w:qFormat/>
    <w:rPr>
      <w:rFonts w:cs="Symbol"/>
      <w:b/>
    </w:rPr>
  </w:style>
  <w:style w:type="character" w:customStyle="1" w:styleId="ListLabel123">
    <w:name w:val="ListLabel 123"/>
    <w:qFormat/>
    <w:rPr>
      <w:rFonts w:cs="OpenSymbol"/>
      <w:b/>
    </w:rPr>
  </w:style>
  <w:style w:type="character" w:customStyle="1" w:styleId="ListLabel124">
    <w:name w:val="ListLabel 124"/>
    <w:qFormat/>
    <w:rPr>
      <w:rFonts w:cs="OpenSymbol"/>
      <w:b/>
    </w:rPr>
  </w:style>
  <w:style w:type="character" w:customStyle="1" w:styleId="ListLabel125">
    <w:name w:val="ListLabel 125"/>
    <w:qFormat/>
    <w:rPr>
      <w:rFonts w:cs="OpenSymbol"/>
      <w:b/>
    </w:rPr>
  </w:style>
  <w:style w:type="character" w:customStyle="1" w:styleId="ListLabel126">
    <w:name w:val="ListLabel 126"/>
    <w:qFormat/>
    <w:rPr>
      <w:rFonts w:cs="OpenSymbol"/>
      <w:b/>
    </w:rPr>
  </w:style>
  <w:style w:type="character" w:customStyle="1" w:styleId="ListLabel127">
    <w:name w:val="ListLabel 127"/>
    <w:qFormat/>
    <w:rPr>
      <w:rFonts w:cs="OpenSymbol"/>
      <w:b/>
    </w:rPr>
  </w:style>
  <w:style w:type="character" w:customStyle="1" w:styleId="ListLabel128">
    <w:name w:val="ListLabel 128"/>
    <w:qFormat/>
    <w:rPr>
      <w:rFonts w:ascii="Arial Narrow" w:hAnsi="Arial Narrow" w:cs="Symbol"/>
      <w:color w:val="00000A"/>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cs="Symbol"/>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strike w:val="0"/>
      <w:dstrike w:val="0"/>
      <w:color w:val="00000A"/>
    </w:rPr>
  </w:style>
  <w:style w:type="character" w:customStyle="1" w:styleId="ListLabel138">
    <w:name w:val="ListLabel 138"/>
    <w:qFormat/>
    <w:rPr>
      <w:rFonts w:cs="Courier New"/>
      <w:strike w:val="0"/>
      <w:dstrike w:val="0"/>
      <w:color w:val="00000A"/>
      <w:sz w:val="22"/>
    </w:rPr>
  </w:style>
  <w:style w:type="character" w:customStyle="1" w:styleId="ListLabel139">
    <w:name w:val="ListLabel 139"/>
    <w:qFormat/>
    <w:rPr>
      <w:rFonts w:cs="Wingdings"/>
    </w:rPr>
  </w:style>
  <w:style w:type="character" w:customStyle="1" w:styleId="ListLabel140">
    <w:name w:val="ListLabel 140"/>
    <w:qFormat/>
    <w:rPr>
      <w:rFonts w:cs="Symbol"/>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cs="Symbol"/>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strike w:val="0"/>
      <w:dstrike w:val="0"/>
      <w:color w:val="00000A"/>
    </w:rPr>
  </w:style>
  <w:style w:type="character" w:customStyle="1" w:styleId="ListLabel147">
    <w:name w:val="ListLabel 147"/>
    <w:qFormat/>
    <w:rPr>
      <w:rFonts w:cs="Courier New"/>
      <w:strike w:val="0"/>
      <w:dstrike w:val="0"/>
      <w:color w:val="00000A"/>
      <w:sz w:val="22"/>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cs="Symbol"/>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ascii="Arial" w:hAnsi="Arial" w:cs="Courier New"/>
      <w:sz w:val="20"/>
    </w:rPr>
  </w:style>
  <w:style w:type="character" w:customStyle="1" w:styleId="ListLabel165">
    <w:name w:val="ListLabel 165"/>
    <w:qFormat/>
    <w:rPr>
      <w:rFonts w:ascii="Arial" w:hAnsi="Arial" w:cs="Courier New"/>
      <w:sz w:val="16"/>
    </w:rPr>
  </w:style>
  <w:style w:type="character" w:customStyle="1" w:styleId="ListLabel166">
    <w:name w:val="ListLabel 166"/>
    <w:qFormat/>
    <w:rPr>
      <w:rFonts w:cs="Times New Roman"/>
      <w:sz w:val="20"/>
    </w:rPr>
  </w:style>
  <w:style w:type="character" w:customStyle="1" w:styleId="ListLabel167">
    <w:name w:val="ListLabel 167"/>
    <w:qFormat/>
    <w:rPr>
      <w:rFonts w:ascii="Arial" w:hAnsi="Arial" w:cs="Times New Roman"/>
      <w:b/>
      <w:sz w:val="20"/>
    </w:rPr>
  </w:style>
  <w:style w:type="character" w:customStyle="1" w:styleId="ListLabel168">
    <w:name w:val="ListLabel 168"/>
    <w:qFormat/>
    <w:rPr>
      <w:rFonts w:ascii="Arial" w:hAnsi="Arial" w:cs="Times New Roman"/>
      <w:sz w:val="20"/>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ascii="Arial" w:hAnsi="Arial" w:cs="Symbol"/>
      <w:sz w:val="20"/>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Wingdings"/>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cs="Symbol"/>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pPr>
      <w:spacing w:after="140" w:line="288"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Subttulo">
    <w:name w:val="Subtitle"/>
    <w:basedOn w:val="Normal"/>
    <w:next w:val="Normal"/>
    <w:link w:val="SubttuloCar"/>
    <w:uiPriority w:val="11"/>
    <w:qFormat/>
    <w:rsid w:val="00EC2123"/>
    <w:pPr>
      <w:outlineLvl w:val="1"/>
    </w:pPr>
    <w:rPr>
      <w:rFonts w:ascii="Calibri Light" w:hAnsi="Calibri Light"/>
      <w:b/>
      <w:color w:val="FF0000"/>
      <w:sz w:val="16"/>
      <w:szCs w:val="20"/>
      <w:u w:val="single"/>
    </w:rPr>
  </w:style>
  <w:style w:type="paragraph" w:styleId="Encabezado">
    <w:name w:val="header"/>
    <w:basedOn w:val="Normal"/>
    <w:link w:val="EncabezadoCar"/>
    <w:uiPriority w:val="99"/>
    <w:unhideWhenUsed/>
    <w:rsid w:val="004C25C0"/>
    <w:pPr>
      <w:tabs>
        <w:tab w:val="center" w:pos="4252"/>
        <w:tab w:val="right" w:pos="8504"/>
      </w:tabs>
      <w:spacing w:after="0"/>
    </w:pPr>
  </w:style>
  <w:style w:type="paragraph" w:styleId="Piedepgina">
    <w:name w:val="footer"/>
    <w:basedOn w:val="Normal"/>
    <w:link w:val="PiedepginaCar"/>
    <w:uiPriority w:val="99"/>
    <w:unhideWhenUsed/>
    <w:rsid w:val="004C25C0"/>
    <w:pPr>
      <w:tabs>
        <w:tab w:val="center" w:pos="4252"/>
        <w:tab w:val="right" w:pos="8504"/>
      </w:tabs>
      <w:spacing w:after="0"/>
    </w:pPr>
  </w:style>
  <w:style w:type="paragraph" w:styleId="Prrafodelista">
    <w:name w:val="List Paragraph"/>
    <w:basedOn w:val="Normal"/>
    <w:link w:val="PrrafodelistaCar"/>
    <w:uiPriority w:val="34"/>
    <w:qFormat/>
    <w:rsid w:val="00B22A0C"/>
    <w:pPr>
      <w:ind w:left="720"/>
      <w:contextualSpacing/>
    </w:pPr>
  </w:style>
  <w:style w:type="paragraph" w:customStyle="1" w:styleId="parrafo">
    <w:name w:val="parrafo"/>
    <w:basedOn w:val="Normal"/>
    <w:qFormat/>
    <w:rsid w:val="00FE641A"/>
    <w:pPr>
      <w:suppressAutoHyphens w:val="0"/>
      <w:spacing w:beforeAutospacing="1" w:afterAutospacing="1"/>
      <w:ind w:firstLine="0"/>
      <w:jc w:val="left"/>
    </w:pPr>
    <w:rPr>
      <w:sz w:val="24"/>
      <w:szCs w:val="24"/>
      <w:lang w:eastAsia="es-ES"/>
    </w:rPr>
  </w:style>
  <w:style w:type="paragraph" w:styleId="TDC1">
    <w:name w:val="toc 1"/>
    <w:basedOn w:val="Normal"/>
    <w:next w:val="Normal"/>
    <w:autoRedefine/>
    <w:uiPriority w:val="39"/>
    <w:unhideWhenUsed/>
    <w:rsid w:val="00B47CBD"/>
    <w:pPr>
      <w:tabs>
        <w:tab w:val="left" w:pos="284"/>
        <w:tab w:val="left" w:pos="360"/>
      </w:tabs>
      <w:spacing w:after="0"/>
      <w:ind w:firstLine="0"/>
    </w:pPr>
  </w:style>
  <w:style w:type="paragraph" w:styleId="TDC2">
    <w:name w:val="toc 2"/>
    <w:basedOn w:val="Normal"/>
    <w:next w:val="Normal"/>
    <w:autoRedefine/>
    <w:uiPriority w:val="39"/>
    <w:unhideWhenUsed/>
    <w:rsid w:val="002F6CC8"/>
    <w:pPr>
      <w:tabs>
        <w:tab w:val="left" w:pos="3490"/>
        <w:tab w:val="right" w:pos="9656"/>
      </w:tabs>
      <w:spacing w:after="0"/>
      <w:ind w:left="181"/>
    </w:pPr>
  </w:style>
  <w:style w:type="paragraph" w:styleId="TDC3">
    <w:name w:val="toc 3"/>
    <w:basedOn w:val="Normal"/>
    <w:next w:val="Normal"/>
    <w:autoRedefine/>
    <w:uiPriority w:val="39"/>
    <w:unhideWhenUsed/>
    <w:rsid w:val="009F3F7F"/>
    <w:pPr>
      <w:spacing w:after="100"/>
      <w:ind w:left="360"/>
    </w:pPr>
  </w:style>
  <w:style w:type="paragraph" w:customStyle="1" w:styleId="Textoindependiente21">
    <w:name w:val="Texto independiente 21"/>
    <w:basedOn w:val="Normal"/>
    <w:qFormat/>
    <w:rsid w:val="00C03F59"/>
    <w:pPr>
      <w:spacing w:after="0" w:line="360" w:lineRule="auto"/>
      <w:ind w:firstLine="0"/>
    </w:pPr>
    <w:rPr>
      <w:rFonts w:ascii="Arial" w:hAnsi="Arial" w:cs="Arial"/>
      <w:sz w:val="24"/>
      <w:szCs w:val="20"/>
      <w:lang w:val="en-US"/>
    </w:rPr>
  </w:style>
  <w:style w:type="paragraph" w:customStyle="1" w:styleId="Contenidodelmarco">
    <w:name w:val="Contenido del marco"/>
    <w:basedOn w:val="Normal"/>
    <w:qFormat/>
  </w:style>
  <w:style w:type="paragraph" w:styleId="TtuloTDC">
    <w:name w:val="TOC Heading"/>
    <w:basedOn w:val="Ttulo1"/>
    <w:next w:val="Normal"/>
    <w:uiPriority w:val="39"/>
    <w:unhideWhenUsed/>
    <w:qFormat/>
    <w:rsid w:val="00313E30"/>
    <w:pPr>
      <w:keepLines/>
      <w:numPr>
        <w:numId w:val="0"/>
      </w:numPr>
      <w:suppressAutoHyphens w:val="0"/>
      <w:spacing w:after="0" w:line="259" w:lineRule="auto"/>
      <w:ind w:left="357" w:hanging="357"/>
      <w:jc w:val="left"/>
    </w:pPr>
    <w:rPr>
      <w:rFonts w:asciiTheme="majorHAnsi" w:eastAsiaTheme="majorEastAsia" w:hAnsiTheme="majorHAnsi" w:cstheme="majorBidi"/>
      <w:b w:val="0"/>
      <w:bCs w:val="0"/>
      <w:color w:val="2E74B5" w:themeColor="accent1" w:themeShade="BF"/>
      <w:sz w:val="32"/>
      <w:lang w:eastAsia="es-ES"/>
    </w:rPr>
  </w:style>
  <w:style w:type="paragraph" w:styleId="Textodeglobo">
    <w:name w:val="Balloon Text"/>
    <w:basedOn w:val="Normal"/>
    <w:link w:val="TextodegloboCar"/>
    <w:unhideWhenUsed/>
    <w:qFormat/>
    <w:rsid w:val="000478DC"/>
    <w:pPr>
      <w:spacing w:after="0"/>
    </w:pPr>
    <w:rPr>
      <w:rFonts w:ascii="Segoe UI" w:hAnsi="Segoe UI" w:cs="Segoe UI"/>
    </w:rPr>
  </w:style>
  <w:style w:type="paragraph" w:customStyle="1" w:styleId="Default">
    <w:name w:val="Default"/>
    <w:qFormat/>
    <w:rsid w:val="00C3105A"/>
    <w:rPr>
      <w:rFonts w:ascii="Arial" w:hAnsi="Arial" w:cs="Arial"/>
      <w:color w:val="000000"/>
      <w:sz w:val="24"/>
      <w:szCs w:val="24"/>
    </w:rPr>
  </w:style>
  <w:style w:type="paragraph" w:styleId="Sangradetextonormal">
    <w:name w:val="Body Text Indent"/>
    <w:basedOn w:val="Normal"/>
    <w:link w:val="SangradetextonormalCar"/>
    <w:unhideWhenUsed/>
    <w:rsid w:val="002C539C"/>
    <w:pPr>
      <w:spacing w:after="120"/>
      <w:ind w:left="283"/>
    </w:pPr>
  </w:style>
  <w:style w:type="paragraph" w:customStyle="1" w:styleId="Ttulo10">
    <w:name w:val="Título1"/>
    <w:basedOn w:val="Normal"/>
    <w:qFormat/>
    <w:rsid w:val="002C539C"/>
    <w:pPr>
      <w:spacing w:after="0"/>
      <w:ind w:firstLine="0"/>
      <w:jc w:val="center"/>
    </w:pPr>
    <w:rPr>
      <w:rFonts w:ascii="Arial" w:hAnsi="Arial" w:cs="Arial"/>
      <w:b/>
      <w:sz w:val="24"/>
      <w:szCs w:val="20"/>
      <w:lang w:val="en-US"/>
    </w:rPr>
  </w:style>
  <w:style w:type="paragraph" w:customStyle="1" w:styleId="Sangra2detindependiente1">
    <w:name w:val="Sangría 2 de t. independiente1"/>
    <w:basedOn w:val="Normal"/>
    <w:qFormat/>
    <w:rsid w:val="002C539C"/>
    <w:pPr>
      <w:spacing w:after="0" w:line="360" w:lineRule="auto"/>
      <w:ind w:left="708" w:firstLine="0"/>
    </w:pPr>
    <w:rPr>
      <w:rFonts w:ascii="Arial" w:hAnsi="Arial" w:cs="Arial"/>
      <w:b/>
      <w:sz w:val="24"/>
      <w:szCs w:val="20"/>
      <w:lang w:val="en-US"/>
    </w:rPr>
  </w:style>
  <w:style w:type="paragraph" w:customStyle="1" w:styleId="Sangra3detindependiente1">
    <w:name w:val="Sangría 3 de t. independiente1"/>
    <w:basedOn w:val="Normal"/>
    <w:qFormat/>
    <w:rsid w:val="002C539C"/>
    <w:pPr>
      <w:spacing w:after="0"/>
      <w:ind w:left="708" w:firstLine="0"/>
    </w:pPr>
    <w:rPr>
      <w:rFonts w:ascii="Arial" w:hAnsi="Arial" w:cs="Arial"/>
      <w:sz w:val="22"/>
      <w:szCs w:val="20"/>
      <w:lang w:val="en-US"/>
    </w:rPr>
  </w:style>
  <w:style w:type="paragraph" w:customStyle="1" w:styleId="Textoindependiente31">
    <w:name w:val="Texto independiente 31"/>
    <w:basedOn w:val="Normal"/>
    <w:qFormat/>
    <w:rsid w:val="002C539C"/>
    <w:pPr>
      <w:spacing w:after="0" w:line="360" w:lineRule="auto"/>
      <w:ind w:firstLine="0"/>
    </w:pPr>
    <w:rPr>
      <w:rFonts w:ascii="Arial" w:hAnsi="Arial" w:cs="Arial"/>
      <w:sz w:val="20"/>
      <w:szCs w:val="20"/>
      <w:lang w:val="en-US"/>
    </w:rPr>
  </w:style>
  <w:style w:type="paragraph" w:styleId="Textonotapie">
    <w:name w:val="footnote text"/>
    <w:basedOn w:val="Normal"/>
    <w:link w:val="TextonotapieCar"/>
  </w:style>
  <w:style w:type="paragraph" w:customStyle="1" w:styleId="Car">
    <w:name w:val="Car"/>
    <w:basedOn w:val="Normal"/>
    <w:qFormat/>
    <w:rsid w:val="002C539C"/>
    <w:pPr>
      <w:spacing w:after="0"/>
      <w:ind w:firstLine="0"/>
      <w:jc w:val="left"/>
    </w:pPr>
    <w:rPr>
      <w:sz w:val="24"/>
      <w:szCs w:val="24"/>
      <w:lang w:val="pl-PL"/>
    </w:rPr>
  </w:style>
  <w:style w:type="paragraph" w:customStyle="1" w:styleId="TFGEpigrafe">
    <w:name w:val="TFG Epigrafe"/>
    <w:basedOn w:val="Ttulo1"/>
    <w:qFormat/>
    <w:rsid w:val="002C539C"/>
    <w:pPr>
      <w:keepLines/>
      <w:numPr>
        <w:numId w:val="0"/>
      </w:numPr>
      <w:spacing w:before="60" w:after="0" w:line="360" w:lineRule="auto"/>
      <w:ind w:left="357" w:hanging="357"/>
      <w:jc w:val="left"/>
    </w:pPr>
    <w:rPr>
      <w:rFonts w:ascii="Garamond" w:hAnsi="Garamond" w:cs="Garamond"/>
      <w:bCs w:val="0"/>
      <w:sz w:val="28"/>
      <w:szCs w:val="28"/>
    </w:rPr>
  </w:style>
  <w:style w:type="paragraph" w:customStyle="1" w:styleId="Contenidodelatabla">
    <w:name w:val="Contenido de la tabla"/>
    <w:basedOn w:val="Normal"/>
    <w:qFormat/>
    <w:rsid w:val="002C539C"/>
    <w:pPr>
      <w:suppressLineNumbers/>
      <w:spacing w:after="0"/>
      <w:ind w:firstLine="0"/>
      <w:jc w:val="left"/>
    </w:pPr>
    <w:rPr>
      <w:sz w:val="24"/>
      <w:szCs w:val="20"/>
      <w:lang w:val="en-US"/>
    </w:rPr>
  </w:style>
  <w:style w:type="paragraph" w:customStyle="1" w:styleId="Ttulodelatabla">
    <w:name w:val="Título de la tabla"/>
    <w:basedOn w:val="Contenidodelatabla"/>
    <w:qFormat/>
    <w:rsid w:val="002C539C"/>
    <w:pPr>
      <w:jc w:val="center"/>
    </w:pPr>
    <w:rPr>
      <w:b/>
      <w:bCs/>
    </w:rPr>
  </w:style>
  <w:style w:type="paragraph" w:styleId="NormalWeb">
    <w:name w:val="Normal (Web)"/>
    <w:basedOn w:val="Normal"/>
    <w:uiPriority w:val="99"/>
    <w:qFormat/>
    <w:rsid w:val="002C539C"/>
    <w:pPr>
      <w:spacing w:before="280" w:after="280"/>
      <w:ind w:firstLine="0"/>
      <w:jc w:val="left"/>
    </w:pPr>
    <w:rPr>
      <w:sz w:val="24"/>
      <w:szCs w:val="24"/>
    </w:rPr>
  </w:style>
  <w:style w:type="paragraph" w:customStyle="1" w:styleId="Standard">
    <w:name w:val="Standard"/>
    <w:qFormat/>
    <w:rsid w:val="002C539C"/>
    <w:pPr>
      <w:suppressAutoHyphens/>
      <w:textAlignment w:val="baseline"/>
    </w:pPr>
    <w:rPr>
      <w:rFonts w:ascii="Liberation Serif" w:eastAsia="SimSun" w:hAnsi="Liberation Serif" w:cs="Arial"/>
      <w:color w:val="00000A"/>
      <w:sz w:val="24"/>
      <w:szCs w:val="24"/>
      <w:lang w:eastAsia="zh-CN" w:bidi="hi-IN"/>
    </w:rPr>
  </w:style>
  <w:style w:type="paragraph" w:customStyle="1" w:styleId="Pa7">
    <w:name w:val="Pa7"/>
    <w:basedOn w:val="Default"/>
    <w:next w:val="Default"/>
    <w:uiPriority w:val="99"/>
    <w:qFormat/>
    <w:rsid w:val="006037DF"/>
    <w:pPr>
      <w:spacing w:line="201" w:lineRule="atLeast"/>
    </w:pPr>
    <w:rPr>
      <w:color w:val="00000A"/>
    </w:rPr>
  </w:style>
  <w:style w:type="paragraph" w:customStyle="1" w:styleId="Predeterminado">
    <w:name w:val="Predeterminado"/>
    <w:qFormat/>
    <w:rsid w:val="00A54A98"/>
    <w:pPr>
      <w:widowControl w:val="0"/>
    </w:pPr>
    <w:rPr>
      <w:color w:val="00000A"/>
      <w:sz w:val="24"/>
      <w:szCs w:val="24"/>
    </w:rPr>
  </w:style>
  <w:style w:type="paragraph" w:styleId="TDC4">
    <w:name w:val="toc 4"/>
    <w:basedOn w:val="Normal"/>
    <w:next w:val="Normal"/>
    <w:autoRedefine/>
    <w:uiPriority w:val="39"/>
    <w:unhideWhenUsed/>
    <w:rsid w:val="00DF0D0D"/>
    <w:pPr>
      <w:suppressAutoHyphens w:val="0"/>
      <w:spacing w:after="100" w:line="259" w:lineRule="auto"/>
      <w:ind w:left="660" w:firstLine="0"/>
      <w:jc w:val="left"/>
    </w:pPr>
    <w:rPr>
      <w:rFonts w:asciiTheme="minorHAnsi" w:eastAsiaTheme="minorEastAsia" w:hAnsiTheme="minorHAnsi" w:cstheme="minorBidi"/>
      <w:sz w:val="22"/>
      <w:szCs w:val="22"/>
      <w:lang w:eastAsia="es-ES"/>
    </w:rPr>
  </w:style>
  <w:style w:type="paragraph" w:styleId="TDC5">
    <w:name w:val="toc 5"/>
    <w:basedOn w:val="Normal"/>
    <w:next w:val="Normal"/>
    <w:autoRedefine/>
    <w:uiPriority w:val="39"/>
    <w:unhideWhenUsed/>
    <w:rsid w:val="00DF0D0D"/>
    <w:pPr>
      <w:suppressAutoHyphens w:val="0"/>
      <w:spacing w:after="100" w:line="259" w:lineRule="auto"/>
      <w:ind w:left="880" w:firstLine="0"/>
      <w:jc w:val="left"/>
    </w:pPr>
    <w:rPr>
      <w:rFonts w:asciiTheme="minorHAnsi" w:eastAsiaTheme="minorEastAsia" w:hAnsiTheme="minorHAnsi" w:cstheme="minorBidi"/>
      <w:sz w:val="22"/>
      <w:szCs w:val="22"/>
      <w:lang w:eastAsia="es-ES"/>
    </w:rPr>
  </w:style>
  <w:style w:type="paragraph" w:styleId="TDC6">
    <w:name w:val="toc 6"/>
    <w:basedOn w:val="Normal"/>
    <w:next w:val="Normal"/>
    <w:autoRedefine/>
    <w:uiPriority w:val="39"/>
    <w:unhideWhenUsed/>
    <w:rsid w:val="00DF0D0D"/>
    <w:pPr>
      <w:suppressAutoHyphens w:val="0"/>
      <w:spacing w:after="100" w:line="259" w:lineRule="auto"/>
      <w:ind w:left="1100" w:firstLine="0"/>
      <w:jc w:val="left"/>
    </w:pPr>
    <w:rPr>
      <w:rFonts w:asciiTheme="minorHAnsi" w:eastAsiaTheme="minorEastAsia" w:hAnsiTheme="minorHAnsi" w:cstheme="minorBidi"/>
      <w:sz w:val="22"/>
      <w:szCs w:val="22"/>
      <w:lang w:eastAsia="es-ES"/>
    </w:rPr>
  </w:style>
  <w:style w:type="paragraph" w:styleId="TDC7">
    <w:name w:val="toc 7"/>
    <w:basedOn w:val="Normal"/>
    <w:next w:val="Normal"/>
    <w:autoRedefine/>
    <w:uiPriority w:val="39"/>
    <w:unhideWhenUsed/>
    <w:rsid w:val="00DF0D0D"/>
    <w:pPr>
      <w:suppressAutoHyphens w:val="0"/>
      <w:spacing w:after="100" w:line="259" w:lineRule="auto"/>
      <w:ind w:left="1320" w:firstLine="0"/>
      <w:jc w:val="left"/>
    </w:pPr>
    <w:rPr>
      <w:rFonts w:asciiTheme="minorHAnsi" w:eastAsiaTheme="minorEastAsia" w:hAnsiTheme="minorHAnsi" w:cstheme="minorBidi"/>
      <w:sz w:val="22"/>
      <w:szCs w:val="22"/>
      <w:lang w:eastAsia="es-ES"/>
    </w:rPr>
  </w:style>
  <w:style w:type="paragraph" w:styleId="TDC8">
    <w:name w:val="toc 8"/>
    <w:basedOn w:val="Normal"/>
    <w:next w:val="Normal"/>
    <w:autoRedefine/>
    <w:uiPriority w:val="39"/>
    <w:unhideWhenUsed/>
    <w:rsid w:val="00DF0D0D"/>
    <w:pPr>
      <w:suppressAutoHyphens w:val="0"/>
      <w:spacing w:after="100" w:line="259" w:lineRule="auto"/>
      <w:ind w:left="1540" w:firstLine="0"/>
      <w:jc w:val="left"/>
    </w:pPr>
    <w:rPr>
      <w:rFonts w:asciiTheme="minorHAnsi" w:eastAsiaTheme="minorEastAsia" w:hAnsiTheme="minorHAnsi" w:cstheme="minorBidi"/>
      <w:sz w:val="22"/>
      <w:szCs w:val="22"/>
      <w:lang w:eastAsia="es-ES"/>
    </w:rPr>
  </w:style>
  <w:style w:type="paragraph" w:styleId="TDC9">
    <w:name w:val="toc 9"/>
    <w:basedOn w:val="Normal"/>
    <w:next w:val="Normal"/>
    <w:autoRedefine/>
    <w:uiPriority w:val="39"/>
    <w:unhideWhenUsed/>
    <w:rsid w:val="00DF0D0D"/>
    <w:pPr>
      <w:suppressAutoHyphens w:val="0"/>
      <w:spacing w:after="100" w:line="259" w:lineRule="auto"/>
      <w:ind w:left="1760" w:firstLine="0"/>
      <w:jc w:val="left"/>
    </w:pPr>
    <w:rPr>
      <w:rFonts w:asciiTheme="minorHAnsi" w:eastAsiaTheme="minorEastAsia" w:hAnsiTheme="minorHAnsi" w:cstheme="minorBidi"/>
      <w:sz w:val="22"/>
      <w:szCs w:val="22"/>
      <w:lang w:eastAsia="es-ES"/>
    </w:rPr>
  </w:style>
  <w:style w:type="paragraph" w:customStyle="1" w:styleId="Encabezamiento">
    <w:name w:val="Encabezamiento"/>
    <w:basedOn w:val="Predeterminado"/>
    <w:uiPriority w:val="99"/>
    <w:qFormat/>
    <w:rsid w:val="000630C8"/>
    <w:pPr>
      <w:widowControl/>
      <w:suppressLineNumbers/>
      <w:tabs>
        <w:tab w:val="center" w:pos="4252"/>
        <w:tab w:val="right" w:pos="8504"/>
      </w:tabs>
      <w:spacing w:line="100" w:lineRule="atLeast"/>
    </w:pPr>
  </w:style>
  <w:style w:type="paragraph" w:customStyle="1" w:styleId="parrafo2">
    <w:name w:val="parrafo_2"/>
    <w:basedOn w:val="Normal"/>
    <w:qFormat/>
    <w:rsid w:val="00475647"/>
    <w:pPr>
      <w:suppressAutoHyphens w:val="0"/>
      <w:spacing w:beforeAutospacing="1" w:afterAutospacing="1"/>
      <w:ind w:firstLine="0"/>
      <w:jc w:val="left"/>
    </w:pPr>
    <w:rPr>
      <w:sz w:val="24"/>
      <w:szCs w:val="24"/>
      <w:lang w:eastAsia="es-ES"/>
    </w:rPr>
  </w:style>
  <w:style w:type="table" w:styleId="Tablaconcuadrcula">
    <w:name w:val="Table Grid"/>
    <w:basedOn w:val="Tablanormal"/>
    <w:uiPriority w:val="39"/>
    <w:rsid w:val="00C465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0145EF"/>
    <w:pPr>
      <w:numPr>
        <w:numId w:val="3"/>
      </w:numPr>
    </w:pPr>
  </w:style>
  <w:style w:type="character" w:styleId="Hipervnculo">
    <w:name w:val="Hyperlink"/>
    <w:basedOn w:val="Fuentedeprrafopredeter"/>
    <w:uiPriority w:val="99"/>
    <w:unhideWhenUsed/>
    <w:rsid w:val="002F6CC8"/>
    <w:rPr>
      <w:color w:val="0563C1" w:themeColor="hyperlink"/>
      <w:u w:val="single"/>
    </w:rPr>
  </w:style>
  <w:style w:type="character" w:customStyle="1" w:styleId="PrrafodelistaCar">
    <w:name w:val="Párrafo de lista Car"/>
    <w:basedOn w:val="Fuentedeprrafopredeter"/>
    <w:link w:val="Prrafodelista"/>
    <w:uiPriority w:val="34"/>
    <w:rsid w:val="00270FCA"/>
    <w:rPr>
      <w:color w:val="00000A"/>
      <w:sz w:val="18"/>
      <w:szCs w:val="18"/>
      <w:shd w:val="clear" w:color="auto" w:fill="FFFFFF"/>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367123">
      <w:bodyDiv w:val="1"/>
      <w:marLeft w:val="0"/>
      <w:marRight w:val="0"/>
      <w:marTop w:val="0"/>
      <w:marBottom w:val="0"/>
      <w:divBdr>
        <w:top w:val="none" w:sz="0" w:space="0" w:color="auto"/>
        <w:left w:val="none" w:sz="0" w:space="0" w:color="auto"/>
        <w:bottom w:val="none" w:sz="0" w:space="0" w:color="auto"/>
        <w:right w:val="none" w:sz="0" w:space="0" w:color="auto"/>
      </w:divBdr>
    </w:div>
    <w:div w:id="391737069">
      <w:bodyDiv w:val="1"/>
      <w:marLeft w:val="0"/>
      <w:marRight w:val="0"/>
      <w:marTop w:val="0"/>
      <w:marBottom w:val="0"/>
      <w:divBdr>
        <w:top w:val="none" w:sz="0" w:space="0" w:color="auto"/>
        <w:left w:val="none" w:sz="0" w:space="0" w:color="auto"/>
        <w:bottom w:val="none" w:sz="0" w:space="0" w:color="auto"/>
        <w:right w:val="none" w:sz="0" w:space="0" w:color="auto"/>
      </w:divBdr>
    </w:div>
    <w:div w:id="465591274">
      <w:bodyDiv w:val="1"/>
      <w:marLeft w:val="0"/>
      <w:marRight w:val="0"/>
      <w:marTop w:val="0"/>
      <w:marBottom w:val="0"/>
      <w:divBdr>
        <w:top w:val="none" w:sz="0" w:space="0" w:color="auto"/>
        <w:left w:val="none" w:sz="0" w:space="0" w:color="auto"/>
        <w:bottom w:val="none" w:sz="0" w:space="0" w:color="auto"/>
        <w:right w:val="none" w:sz="0" w:space="0" w:color="auto"/>
      </w:divBdr>
    </w:div>
    <w:div w:id="5532768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5D3F2-0FCB-4996-8141-8F3980D07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9</Pages>
  <Words>3428</Words>
  <Characters>18859</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Disposición 14803 del BOE núm. 262 de 2018</vt:lpstr>
    </vt:vector>
  </TitlesOfParts>
  <Company>Hewlett-Packard Company</Company>
  <LinksUpToDate>false</LinksUpToDate>
  <CharactersWithSpaces>22243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Disposición 14803 del BOE núm. 262 de 2018</dc:title>
  <dc:subject>BOE-A-2018-14803</dc:subject>
  <dc:creator>JSG</dc:creator>
  <cp:keywords>DECRETO 1338/2018 de 29/10/2018 "MINISTERIO DE AGRICULTURA PESCA Y ALIMENTACIÓN" BOE-A-2018-14803 BOE 262 de 2018 14803 30/10/2018</cp:keywords>
  <dc:description/>
  <cp:lastModifiedBy>Administrador</cp:lastModifiedBy>
  <cp:revision>13</cp:revision>
  <cp:lastPrinted>2022-02-21T09:20:00Z</cp:lastPrinted>
  <dcterms:created xsi:type="dcterms:W3CDTF">2022-03-21T12:23:00Z</dcterms:created>
  <dcterms:modified xsi:type="dcterms:W3CDTF">2022-03-24T11:32:00Z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