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0054D9" w:rsidRDefault="000054D9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Según el </w:t>
      </w:r>
      <w:r w:rsidRPr="00926C8D">
        <w:rPr>
          <w:rFonts w:ascii="Arial" w:eastAsia="Arial" w:hAnsi="Arial" w:cs="Arial"/>
        </w:rPr>
        <w:t>apartado decimo</w:t>
      </w:r>
      <w:r w:rsidR="00660358" w:rsidRPr="00926C8D">
        <w:rPr>
          <w:rFonts w:ascii="Arial" w:eastAsia="Arial" w:hAnsi="Arial" w:cs="Arial"/>
        </w:rPr>
        <w:t>segundo</w:t>
      </w:r>
      <w:r w:rsidRPr="000054D9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de la convocatoria, el </w:t>
      </w:r>
      <w:r w:rsidR="00942971" w:rsidRPr="00942971">
        <w:rPr>
          <w:rFonts w:ascii="Arial" w:eastAsia="Arial" w:hAnsi="Arial" w:cs="Arial"/>
          <w:b/>
        </w:rPr>
        <w:t>PRESUPUESTO</w:t>
      </w:r>
      <w:r>
        <w:rPr>
          <w:rFonts w:ascii="Arial" w:eastAsia="Arial" w:hAnsi="Arial" w:cs="Arial"/>
        </w:rPr>
        <w:t xml:space="preserve"> a presentar deberá conte</w:t>
      </w:r>
      <w:r w:rsidR="00942971">
        <w:rPr>
          <w:rFonts w:ascii="Arial" w:eastAsia="Arial" w:hAnsi="Arial" w:cs="Arial"/>
        </w:rPr>
        <w:t>ner la siguiente documentación:</w:t>
      </w:r>
    </w:p>
    <w:p w:rsidR="00FC1CDB" w:rsidRDefault="00FC1CDB" w:rsidP="00FC1CDB">
      <w:pPr>
        <w:ind w:left="360" w:right="283"/>
        <w:rPr>
          <w:rFonts w:ascii="Arial" w:eastAsia="Helvetica Neue" w:hAnsi="Arial" w:cs="Arial"/>
        </w:rPr>
      </w:pPr>
    </w:p>
    <w:p w:rsidR="00FC1CDB" w:rsidRPr="002753FC" w:rsidRDefault="00FC1CDB" w:rsidP="00FC1CDB">
      <w:pPr>
        <w:ind w:left="360" w:right="283"/>
        <w:rPr>
          <w:rFonts w:ascii="Arial" w:eastAsia="Helvetica Neue" w:hAnsi="Arial" w:cs="Arial"/>
        </w:rPr>
      </w:pPr>
      <w:r w:rsidRPr="002753FC">
        <w:rPr>
          <w:rFonts w:ascii="Arial" w:eastAsia="Helvetica Neue" w:hAnsi="Arial" w:cs="Arial"/>
        </w:rPr>
        <w:t>Presupuesto detallado de las inversiones, estructurado mediante partidas o capítulos homogéneos, con indicación de gastos de compra, instalación, indicando el gasto sin IVA y con IVA.</w:t>
      </w:r>
    </w:p>
    <w:p w:rsidR="002753FC" w:rsidRDefault="002753FC" w:rsidP="000054D9">
      <w:pPr>
        <w:pStyle w:val="NormalWeb"/>
        <w:spacing w:before="0" w:beforeAutospacing="0" w:after="0" w:afterAutospacing="0"/>
        <w:jc w:val="both"/>
        <w:textAlignment w:val="baseline"/>
      </w:pPr>
    </w:p>
    <w:p w:rsidR="000054D9" w:rsidRDefault="00926C8D" w:rsidP="000054D9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>
        <w:pict>
          <v:rect id="_x0000_i1025" style="width:0;height:1.5pt" o:hralign="center" o:hrstd="t" o:hr="t" fillcolor="#a0a0a0" stroked="f"/>
        </w:pict>
      </w:r>
    </w:p>
    <w:p w:rsidR="00055291" w:rsidRDefault="000054D9" w:rsidP="00055291">
      <w:pPr>
        <w:spacing w:line="240" w:lineRule="auto"/>
        <w:rPr>
          <w:rFonts w:ascii="Arial" w:eastAsia="Times New Roman" w:hAnsi="Arial" w:cs="Arial"/>
          <w:b/>
          <w:iCs/>
          <w:color w:val="000000"/>
          <w:lang w:val="es-ES"/>
        </w:rPr>
      </w:pPr>
      <w:r w:rsidRPr="00DD7A5C">
        <w:rPr>
          <w:rFonts w:ascii="Arial" w:eastAsia="Times New Roman" w:hAnsi="Arial" w:cs="Arial"/>
          <w:b/>
          <w:iCs/>
          <w:color w:val="000000"/>
          <w:lang w:val="es-ES"/>
        </w:rPr>
        <w:t>Extracto de</w:t>
      </w:r>
      <w:r>
        <w:rPr>
          <w:rFonts w:ascii="Arial" w:eastAsia="Times New Roman" w:hAnsi="Arial" w:cs="Arial"/>
          <w:b/>
          <w:iCs/>
          <w:color w:val="000000"/>
          <w:lang w:val="es-ES"/>
        </w:rPr>
        <w:t xml:space="preserve">l apartado tercero de la convocatoria: </w:t>
      </w:r>
    </w:p>
    <w:p w:rsidR="00055291" w:rsidRDefault="00055291" w:rsidP="00055291">
      <w:pPr>
        <w:spacing w:line="240" w:lineRule="auto"/>
        <w:rPr>
          <w:rFonts w:ascii="Arial" w:eastAsia="Times New Roman" w:hAnsi="Arial" w:cs="Arial"/>
          <w:b/>
          <w:iCs/>
          <w:color w:val="000000"/>
          <w:lang w:val="es-ES"/>
        </w:rPr>
      </w:pPr>
    </w:p>
    <w:p w:rsidR="000054D9" w:rsidRPr="00055291" w:rsidRDefault="00CE0E6F" w:rsidP="00055291">
      <w:pPr>
        <w:pStyle w:val="Prrafodelista"/>
        <w:numPr>
          <w:ilvl w:val="0"/>
          <w:numId w:val="14"/>
        </w:numPr>
        <w:spacing w:line="240" w:lineRule="auto"/>
        <w:rPr>
          <w:rFonts w:ascii="Arial" w:eastAsia="Times New Roman" w:hAnsi="Arial" w:cs="Arial"/>
          <w:b/>
          <w:iCs/>
          <w:color w:val="000000"/>
          <w:lang w:val="es-ES"/>
        </w:rPr>
      </w:pPr>
      <w:r>
        <w:rPr>
          <w:rFonts w:ascii="Arial" w:eastAsia="Times New Roman" w:hAnsi="Arial" w:cs="Arial"/>
          <w:b/>
          <w:iCs/>
          <w:color w:val="000000"/>
          <w:lang w:val="es-ES"/>
        </w:rPr>
        <w:t>G</w:t>
      </w:r>
      <w:r w:rsidR="000054D9" w:rsidRPr="00055291">
        <w:rPr>
          <w:rFonts w:ascii="Arial" w:eastAsia="Times New Roman" w:hAnsi="Arial" w:cs="Arial"/>
          <w:b/>
          <w:iCs/>
          <w:color w:val="000000"/>
          <w:lang w:val="es-ES"/>
        </w:rPr>
        <w:t>astos subvencionables</w:t>
      </w:r>
    </w:p>
    <w:p w:rsidR="00E059BC" w:rsidRDefault="00E059BC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tbl>
      <w:tblPr>
        <w:tblStyle w:val="Tablanormal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753FC" w:rsidRPr="002753FC" w:rsidTr="002753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Arial" w:hAnsi="Arial" w:cs="Arial"/>
                <w:b w:val="0"/>
                <w:i/>
              </w:rPr>
            </w:pPr>
            <w:r w:rsidRPr="00602BD4">
              <w:rPr>
                <w:rFonts w:ascii="Arial" w:eastAsia="Arial" w:hAnsi="Arial" w:cs="Arial"/>
                <w:b w:val="0"/>
                <w:i/>
              </w:rPr>
              <w:t>1. Se consideran gastos subvencionables, a los efectos de esta convocatoria de subvenciones, aquellos que financien gastos de inversión de las actuaciones definidas en el apartado segundo del presente artículo.</w:t>
            </w:r>
          </w:p>
        </w:tc>
        <w:bookmarkStart w:id="0" w:name="_GoBack"/>
        <w:bookmarkEnd w:id="0"/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Arial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Arial" w:hAnsi="Arial" w:cs="Arial"/>
                <w:b w:val="0"/>
                <w:i/>
              </w:rPr>
              <w:t>2. L</w:t>
            </w:r>
            <w:r w:rsidRPr="00602BD4">
              <w:rPr>
                <w:rFonts w:ascii="Arial" w:eastAsia="Helvetica Neue" w:hAnsi="Arial" w:cs="Arial"/>
                <w:b w:val="0"/>
                <w:i/>
              </w:rPr>
              <w:t xml:space="preserve">os gastos subvencionables, correspondientes a inversiones en proyectos de transformación y/o comercialización de productos agrarios, en especial procedentes de explotaciones de agricultura ecológica o de artesanía alimentaria. </w:t>
            </w:r>
            <w:r w:rsidRPr="00602BD4">
              <w:rPr>
                <w:rFonts w:ascii="Arial" w:hAnsi="Arial" w:cs="Arial"/>
                <w:b w:val="0"/>
                <w:i/>
              </w:rPr>
              <w:t>(Eje temático: actividades económicas)</w:t>
            </w:r>
            <w:r w:rsidRPr="00602BD4">
              <w:rPr>
                <w:rFonts w:ascii="Arial" w:eastAsia="Helvetica Neue" w:hAnsi="Arial" w:cs="Arial"/>
                <w:b w:val="0"/>
                <w:i/>
              </w:rPr>
              <w:t xml:space="preserve"> son los siguientes: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>a) Compra de nueva maquinaria para transformación y/o comercialización y equipos con montaje, instalación y prueba de los mismos.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>b) Compra de maquinaria para transformación y/o comercialización y equipos de segunda mano con montaje, instalación y prueba de los mismos.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>c) Equipos de laboratorio necesarios para la transformación.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>d) Obras de adaptación o remodelación de locales para la instalación de los equipos que se requieran a fin de llevar a cabo los procesos de transformación y/o comercialización.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50E90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 xml:space="preserve">e) Vehículos de tipo industrial cuyo destino sea facilitar la comercialización de los productos transformados. </w:t>
            </w:r>
          </w:p>
        </w:tc>
      </w:tr>
    </w:tbl>
    <w:p w:rsidR="00055291" w:rsidRDefault="00055291" w:rsidP="000054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3B3E55" w:rsidRPr="00055291" w:rsidRDefault="000054D9" w:rsidP="00055291">
      <w:pPr>
        <w:pStyle w:val="Prrafode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055291">
        <w:rPr>
          <w:rFonts w:ascii="Arial" w:eastAsia="Arial" w:hAnsi="Arial" w:cs="Arial"/>
          <w:b/>
        </w:rPr>
        <w:t>Se excluirán de la consideración de gastos subvencionables</w:t>
      </w:r>
    </w:p>
    <w:p w:rsidR="00055291" w:rsidRDefault="00055291" w:rsidP="0005529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tbl>
      <w:tblPr>
        <w:tblStyle w:val="Tablanormal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753FC" w:rsidRPr="002753FC" w:rsidTr="002753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Arial" w:hAnsi="Arial" w:cs="Arial"/>
                <w:b w:val="0"/>
                <w:i/>
              </w:rPr>
            </w:pPr>
            <w:r w:rsidRPr="00602BD4">
              <w:rPr>
                <w:rFonts w:ascii="Arial" w:eastAsia="Arial" w:hAnsi="Arial" w:cs="Arial"/>
                <w:b w:val="0"/>
                <w:i/>
              </w:rPr>
              <w:t>a) El Impuesto sobre el Valor Añadido (IVA)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 xml:space="preserve">b) No serán subvencionables, en ningún caso los conceptos que puedan asignarse a gasto corriente. En el caso de que la actuación propuesta contenga partidas presupuestarias que deben imputarse a gastos corrientes se deducirán del presupuesto total presentado. Una vez deducidas estas partidas, el presupuesto resultante deberá quedar enmarcado entre </w:t>
            </w:r>
            <w:r w:rsidRPr="00602BD4">
              <w:rPr>
                <w:rFonts w:ascii="Arial" w:eastAsia="Helvetica Neue" w:hAnsi="Arial" w:cs="Arial"/>
                <w:b w:val="0"/>
                <w:i/>
              </w:rPr>
              <w:lastRenderedPageBreak/>
              <w:t>los límites especificados en el apartado noveno. Si el presupuesto es inferior al que se establece como mínimo, se desestimará la actuación.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>c) Inversiones a realizar en mejoras en infraestructuras agrícolas o ganaderas de producción (explotaciones, cultivos o granjas).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>d) Los gastos atribuidos a la adquisición de materiales, plantas, semillas, sustancias que no tengan un carácter propio de inversión para la transformación y comercialización de productos agrarios, en especial procedentes de explotaciones de agricultura ecológica o de artesanía alimentaria.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  <w:r w:rsidRPr="00602BD4">
              <w:rPr>
                <w:rFonts w:ascii="Arial" w:eastAsia="Helvetica Neue" w:hAnsi="Arial" w:cs="Arial"/>
                <w:b w:val="0"/>
                <w:i/>
              </w:rPr>
              <w:t>e) En el caso de que la inversión solicitada consista en la ejecución de obras de adecuación y/o modernización de instalaciones para la transformación y/o comercialización, no se considerarán subvencionables los gastos de honorarios de redacción del proyecto o memoria valorada y de dirección de obra.</w:t>
            </w:r>
          </w:p>
        </w:tc>
      </w:tr>
      <w:tr w:rsidR="002753FC" w:rsidRPr="002753FC" w:rsidTr="00275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rPr>
                <w:rFonts w:ascii="Arial" w:eastAsia="Helvetica Neue" w:hAnsi="Arial" w:cs="Arial"/>
                <w:b w:val="0"/>
                <w:i/>
              </w:rPr>
            </w:pPr>
          </w:p>
        </w:tc>
      </w:tr>
      <w:tr w:rsidR="002753FC" w:rsidRPr="002753FC" w:rsidTr="00275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auto"/>
          </w:tcPr>
          <w:p w:rsidR="002753FC" w:rsidRPr="00602BD4" w:rsidRDefault="002753FC" w:rsidP="002C207C">
            <w:pPr>
              <w:contextualSpacing/>
              <w:rPr>
                <w:rFonts w:ascii="Arial" w:eastAsia="Arial" w:hAnsi="Arial" w:cs="Arial"/>
                <w:b w:val="0"/>
                <w:i/>
              </w:rPr>
            </w:pPr>
            <w:r w:rsidRPr="00602BD4">
              <w:rPr>
                <w:rFonts w:ascii="Arial" w:eastAsia="Arial" w:hAnsi="Arial" w:cs="Arial"/>
                <w:b w:val="0"/>
                <w:i/>
              </w:rPr>
              <w:t>f) No se considerarán como gastos de inversión y no serán subvencionables aquellos que se financien a través de procedimientos de pagos periódicos o recurrentes cuyo último plazo de abono sea posterior a la finalización del plazo de justificación de la subvención y el bien adquirido no quede en propiedad del beneficiario. En cualquier caso, el bien a subvencionar debe ser adquirido en el año 2022 antes de la fecha de finalización del periodo de justificación (7 de noviembre de 2022).</w:t>
            </w:r>
          </w:p>
        </w:tc>
      </w:tr>
    </w:tbl>
    <w:p w:rsidR="00132A12" w:rsidRPr="00132A12" w:rsidRDefault="00132A12" w:rsidP="00132A12">
      <w:pPr>
        <w:ind w:right="283"/>
        <w:contextualSpacing/>
        <w:rPr>
          <w:rFonts w:ascii="Arial" w:eastAsia="Arial" w:hAnsi="Arial" w:cs="Arial"/>
          <w:color w:val="FF0000"/>
        </w:rPr>
      </w:pPr>
    </w:p>
    <w:p w:rsidR="00132A12" w:rsidRDefault="00132A12" w:rsidP="0005529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0054D9" w:rsidRDefault="000054D9" w:rsidP="000054D9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DE075B" w:rsidRDefault="00926C8D" w:rsidP="00482920">
      <w:pPr>
        <w:rPr>
          <w:rFonts w:ascii="Arial" w:eastAsia="Arial" w:hAnsi="Arial" w:cs="Arial"/>
        </w:rPr>
      </w:pPr>
      <w:r>
        <w:pict>
          <v:rect id="_x0000_i1026" style="width:0;height:1.5pt" o:hralign="center" o:hrstd="t" o:hr="t" fillcolor="#a0a0a0" stroked="f"/>
        </w:pict>
      </w:r>
    </w:p>
    <w:p w:rsidR="00686C89" w:rsidRDefault="00DE075B" w:rsidP="001667E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 w:rsidRPr="00602BD4">
        <w:rPr>
          <w:rFonts w:ascii="Arial" w:eastAsia="Arial" w:hAnsi="Arial" w:cs="Arial"/>
        </w:rPr>
        <w:t xml:space="preserve">apartado </w:t>
      </w:r>
      <w:r w:rsidR="001667EE" w:rsidRPr="00602BD4">
        <w:rPr>
          <w:rFonts w:ascii="Arial" w:eastAsia="Arial" w:hAnsi="Arial" w:cs="Arial"/>
        </w:rPr>
        <w:t>séptimo</w:t>
      </w:r>
      <w:r w:rsidR="001667EE">
        <w:rPr>
          <w:rFonts w:ascii="Arial" w:eastAsia="Arial" w:hAnsi="Arial" w:cs="Arial"/>
          <w:b/>
        </w:rPr>
        <w:t xml:space="preserve"> </w:t>
      </w:r>
      <w:r w:rsidR="002C5352">
        <w:rPr>
          <w:rFonts w:ascii="Arial" w:eastAsia="Arial" w:hAnsi="Arial" w:cs="Arial"/>
        </w:rPr>
        <w:t>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Pr="00D4596D" w:rsidRDefault="00183277" w:rsidP="0043548F">
      <w:pPr>
        <w:pStyle w:val="NormalWeb"/>
        <w:shd w:val="clear" w:color="auto" w:fill="FFFFFF"/>
        <w:spacing w:line="276" w:lineRule="auto"/>
        <w:ind w:right="283"/>
        <w:jc w:val="both"/>
        <w:rPr>
          <w:rFonts w:ascii="Arial" w:hAnsi="Arial" w:cs="Arial"/>
          <w:spacing w:val="-1"/>
          <w:sz w:val="22"/>
          <w:szCs w:val="22"/>
        </w:rPr>
      </w:pPr>
      <w:r w:rsidRPr="00D4596D">
        <w:rPr>
          <w:rFonts w:ascii="Arial" w:eastAsia="Arial" w:hAnsi="Arial" w:cs="Arial"/>
          <w:sz w:val="22"/>
          <w:szCs w:val="22"/>
        </w:rPr>
        <w:t>E</w:t>
      </w:r>
      <w:r w:rsidR="00686C89" w:rsidRPr="00D4596D">
        <w:rPr>
          <w:rFonts w:ascii="Arial" w:eastAsia="Arial" w:hAnsi="Arial" w:cs="Arial"/>
          <w:sz w:val="22"/>
          <w:szCs w:val="22"/>
        </w:rPr>
        <w:t xml:space="preserve">n el caso de que proceda la subsanación de esta documentación, </w:t>
      </w:r>
      <w:r w:rsidRPr="00D4596D">
        <w:rPr>
          <w:rFonts w:ascii="Arial" w:eastAsia="Arial" w:hAnsi="Arial" w:cs="Arial"/>
          <w:sz w:val="22"/>
          <w:szCs w:val="22"/>
        </w:rPr>
        <w:t xml:space="preserve">si </w:t>
      </w:r>
      <w:r w:rsidR="00686C89" w:rsidRPr="00D4596D">
        <w:rPr>
          <w:rFonts w:ascii="Arial" w:eastAsia="Arial" w:hAnsi="Arial" w:cs="Arial"/>
          <w:sz w:val="22"/>
          <w:szCs w:val="22"/>
        </w:rPr>
        <w:t xml:space="preserve">no se presentase </w:t>
      </w:r>
      <w:r w:rsidRPr="00D4596D">
        <w:rPr>
          <w:rFonts w:ascii="Arial" w:eastAsia="Arial" w:hAnsi="Arial" w:cs="Arial"/>
          <w:sz w:val="22"/>
          <w:szCs w:val="22"/>
        </w:rPr>
        <w:t>conforme a lo establecido en</w:t>
      </w:r>
      <w:r w:rsidR="007F6589" w:rsidRPr="00D4596D">
        <w:rPr>
          <w:rFonts w:ascii="Arial" w:eastAsia="Arial" w:hAnsi="Arial" w:cs="Arial"/>
          <w:sz w:val="22"/>
          <w:szCs w:val="22"/>
        </w:rPr>
        <w:t xml:space="preserve"> el artículo 66</w:t>
      </w:r>
      <w:r w:rsidR="006B06C6" w:rsidRPr="00D4596D">
        <w:rPr>
          <w:rFonts w:ascii="Arial" w:eastAsia="Arial" w:hAnsi="Arial" w:cs="Arial"/>
          <w:sz w:val="22"/>
          <w:szCs w:val="22"/>
        </w:rPr>
        <w:t xml:space="preserve"> y </w:t>
      </w:r>
      <w:proofErr w:type="spellStart"/>
      <w:r w:rsidR="006B06C6" w:rsidRPr="00D4596D">
        <w:rPr>
          <w:rFonts w:ascii="Arial" w:eastAsia="Arial" w:hAnsi="Arial" w:cs="Arial"/>
          <w:sz w:val="22"/>
          <w:szCs w:val="22"/>
        </w:rPr>
        <w:t>ss</w:t>
      </w:r>
      <w:proofErr w:type="spellEnd"/>
      <w:r w:rsidR="006B06C6" w:rsidRPr="00D4596D">
        <w:rPr>
          <w:rFonts w:ascii="Arial" w:eastAsia="Arial" w:hAnsi="Arial" w:cs="Arial"/>
          <w:sz w:val="22"/>
          <w:szCs w:val="22"/>
        </w:rPr>
        <w:t xml:space="preserve"> de la </w:t>
      </w:r>
      <w:r w:rsidR="007F6589" w:rsidRPr="00D4596D">
        <w:rPr>
          <w:rFonts w:ascii="Arial" w:eastAsia="Arial" w:hAnsi="Arial" w:cs="Arial"/>
          <w:sz w:val="22"/>
          <w:szCs w:val="22"/>
        </w:rPr>
        <w:t>Ley</w:t>
      </w:r>
      <w:r w:rsidR="006B06C6" w:rsidRPr="00D4596D">
        <w:rPr>
          <w:rFonts w:ascii="Arial" w:eastAsia="Arial" w:hAnsi="Arial" w:cs="Arial"/>
          <w:sz w:val="22"/>
          <w:szCs w:val="22"/>
        </w:rPr>
        <w:t xml:space="preserve"> 39 /2015, de 1 de octubre, del Procedimiento Administrativo Común de las Administraciones Públicas</w:t>
      </w:r>
      <w:r w:rsidR="006B06C6" w:rsidRPr="00D4596D">
        <w:rPr>
          <w:rFonts w:ascii="Arial" w:hAnsi="Arial" w:cs="Arial"/>
          <w:spacing w:val="-1"/>
          <w:sz w:val="22"/>
          <w:szCs w:val="22"/>
        </w:rPr>
        <w:t xml:space="preserve"> </w:t>
      </w:r>
      <w:r w:rsidR="007F37D2" w:rsidRPr="00D4596D">
        <w:rPr>
          <w:rFonts w:ascii="Arial" w:hAnsi="Arial" w:cs="Arial"/>
          <w:spacing w:val="-1"/>
          <w:sz w:val="22"/>
          <w:szCs w:val="22"/>
        </w:rPr>
        <w:t>se le tendrá por desistido de su solicitud conforme al artículo 6</w:t>
      </w:r>
      <w:r w:rsidR="0043548F" w:rsidRPr="00D4596D">
        <w:rPr>
          <w:rFonts w:ascii="Arial" w:hAnsi="Arial" w:cs="Arial"/>
          <w:spacing w:val="-1"/>
          <w:sz w:val="22"/>
          <w:szCs w:val="22"/>
        </w:rPr>
        <w:t xml:space="preserve">8.1 de la citada ley </w:t>
      </w:r>
      <w:r w:rsidR="00686C89" w:rsidRPr="00602BD4">
        <w:rPr>
          <w:rFonts w:ascii="Arial" w:hAnsi="Arial" w:cs="Arial"/>
          <w:spacing w:val="-1"/>
          <w:sz w:val="22"/>
          <w:szCs w:val="22"/>
        </w:rPr>
        <w:t>según el apartado decimo</w:t>
      </w:r>
      <w:r w:rsidR="001667EE" w:rsidRPr="00602BD4">
        <w:rPr>
          <w:rFonts w:ascii="Arial" w:hAnsi="Arial" w:cs="Arial"/>
          <w:spacing w:val="-1"/>
          <w:sz w:val="22"/>
          <w:szCs w:val="22"/>
        </w:rPr>
        <w:t>cuart</w:t>
      </w:r>
      <w:r w:rsidR="001571F9" w:rsidRPr="00602BD4">
        <w:rPr>
          <w:rFonts w:ascii="Arial" w:hAnsi="Arial" w:cs="Arial"/>
          <w:spacing w:val="-1"/>
          <w:sz w:val="22"/>
          <w:szCs w:val="22"/>
        </w:rPr>
        <w:t>o</w:t>
      </w:r>
      <w:r w:rsidR="00686C89" w:rsidRPr="00602BD4">
        <w:rPr>
          <w:rFonts w:ascii="Arial" w:hAnsi="Arial" w:cs="Arial"/>
          <w:spacing w:val="-1"/>
          <w:sz w:val="22"/>
          <w:szCs w:val="22"/>
        </w:rPr>
        <w:t xml:space="preserve"> de la convocatoria.</w:t>
      </w:r>
    </w:p>
    <w:p w:rsidR="00DE075B" w:rsidRDefault="00DE075B" w:rsidP="00DE075B">
      <w:pPr>
        <w:rPr>
          <w:rFonts w:ascii="Arial" w:eastAsia="Arial" w:hAnsi="Arial" w:cs="Arial"/>
        </w:rPr>
      </w:pP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DEL PRESUPUESTO</w:t>
            </w:r>
          </w:p>
        </w:tc>
      </w:tr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Pr="00602BD4" w:rsidRDefault="003C677E" w:rsidP="00D4596D">
            <w:pPr>
              <w:numPr>
                <w:ilvl w:val="0"/>
                <w:numId w:val="15"/>
              </w:numPr>
              <w:ind w:left="360" w:right="283"/>
              <w:rPr>
                <w:rFonts w:ascii="Arial" w:eastAsia="Helvetica Neue" w:hAnsi="Arial" w:cs="Arial"/>
                <w:i/>
              </w:rPr>
            </w:pPr>
            <w:r w:rsidRPr="00602BD4">
              <w:rPr>
                <w:rFonts w:ascii="Arial" w:eastAsia="Helvetica Neue" w:hAnsi="Arial" w:cs="Arial"/>
                <w:i/>
              </w:rPr>
              <w:t>Hasta 2 puntos por el presupuesto detallado de la inversión</w:t>
            </w:r>
            <w:r w:rsidRPr="00602BD4">
              <w:rPr>
                <w:rFonts w:ascii="Arial" w:hAnsi="Arial" w:cs="Arial"/>
                <w:i/>
              </w:rPr>
              <w:t xml:space="preserve"> </w:t>
            </w:r>
            <w:r w:rsidRPr="00602BD4">
              <w:rPr>
                <w:rFonts w:ascii="Arial" w:eastAsia="Helvetica Neue" w:hAnsi="Arial" w:cs="Arial"/>
                <w:i/>
              </w:rPr>
              <w:t xml:space="preserve">incluyendo mediciones, precios unitarios y precios descompuestos. 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default" r:id="rId8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D3A15">
      <w:rPr>
        <w:rFonts w:ascii="Arial" w:eastAsia="Arial" w:hAnsi="Arial" w:cs="Arial"/>
      </w:rPr>
      <w:t>EMPRESAS</w:t>
    </w:r>
    <w:r>
      <w:rPr>
        <w:rFonts w:ascii="Arial" w:eastAsia="Arial" w:hAnsi="Arial" w:cs="Arial"/>
      </w:rPr>
      <w:t xml:space="preserve"> CON CARGO AL F</w:t>
    </w:r>
    <w:r w:rsidR="000D09B0">
      <w:rPr>
        <w:rFonts w:ascii="Arial" w:eastAsia="Arial" w:hAnsi="Arial" w:cs="Arial"/>
      </w:rPr>
      <w:t>ONDO DE COHESIÓN TERRITORIAL</w:t>
    </w:r>
    <w:r w:rsidR="00926C8D">
      <w:rPr>
        <w:rFonts w:ascii="Arial" w:eastAsia="Arial" w:hAnsi="Arial" w:cs="Arial"/>
      </w:rPr>
      <w:t>. CONVOCATORIA 2022.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2753FC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</w:t>
    </w:r>
  </w:p>
  <w:p w:rsidR="005F5352" w:rsidRDefault="00926C8D" w:rsidP="005F5352">
    <w:pPr>
      <w:jc w:val="center"/>
      <w:rPr>
        <w:rFonts w:ascii="Arial" w:eastAsia="Arial" w:hAnsi="Arial" w:cs="Arial"/>
        <w:b/>
      </w:rPr>
    </w:pPr>
    <w:r>
      <w:pict>
        <v:rect id="_x0000_i1027" style="width:0;height:1.5pt" o:hralign="center" o:hrstd="t" o:hr="t" fillcolor="#a0a0a0" stroked="f"/>
      </w:pict>
    </w:r>
  </w:p>
  <w:p w:rsidR="00A75F12" w:rsidRPr="000054D9" w:rsidRDefault="00A75F12" w:rsidP="004C3C01">
    <w:pPr>
      <w:spacing w:line="240" w:lineRule="auto"/>
      <w:jc w:val="center"/>
      <w:rPr>
        <w:rFonts w:ascii="Helvetica Neue" w:eastAsia="Times New Roman" w:hAnsi="Helvetica Neue" w:cs="Times New Roman"/>
        <w:b/>
        <w:color w:val="000000"/>
        <w:lang w:val="es-ES"/>
      </w:rPr>
    </w:pPr>
  </w:p>
  <w:p w:rsidR="000054D9" w:rsidRDefault="000054D9" w:rsidP="004C3C01">
    <w:pPr>
      <w:spacing w:line="240" w:lineRule="auto"/>
      <w:jc w:val="center"/>
      <w:rPr>
        <w:rFonts w:ascii="Helvetica Neue" w:eastAsia="Times New Roman" w:hAnsi="Helvetica Neue" w:cs="Times New Roman"/>
        <w:color w:val="000000"/>
        <w:lang w:val="es-ES"/>
      </w:rPr>
    </w:pPr>
  </w:p>
  <w:p w:rsidR="00EB33FF" w:rsidRPr="0027197C" w:rsidRDefault="00660358" w:rsidP="00660358">
    <w:pPr>
      <w:spacing w:line="240" w:lineRule="auto"/>
      <w:jc w:val="center"/>
      <w:rPr>
        <w:rFonts w:ascii="Arial" w:eastAsia="Helvetica Neue" w:hAnsi="Arial" w:cs="Arial"/>
        <w:color w:val="FF0000"/>
      </w:rPr>
    </w:pPr>
    <w:r w:rsidRPr="00660358">
      <w:rPr>
        <w:rFonts w:ascii="Arial" w:eastAsia="Helvetica Neue" w:hAnsi="Arial" w:cs="Arial"/>
      </w:rPr>
      <w:t>Inversiones en proyectos de transformación y/o comercialización de productos agrarios, en especial procedentes de agricultura ecológica o de artesanía alimentaria</w:t>
    </w:r>
  </w:p>
  <w:p w:rsidR="00660358" w:rsidRDefault="00660358" w:rsidP="00660358">
    <w:pPr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E1DBB"/>
    <w:multiLevelType w:val="hybridMultilevel"/>
    <w:tmpl w:val="83EEE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F6141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275A8B"/>
    <w:multiLevelType w:val="hybridMultilevel"/>
    <w:tmpl w:val="C4F8F1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30525"/>
    <w:multiLevelType w:val="hybridMultilevel"/>
    <w:tmpl w:val="F7F4DB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6096B"/>
    <w:multiLevelType w:val="multilevel"/>
    <w:tmpl w:val="1286E5DC"/>
    <w:lvl w:ilvl="0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  <w:u w:val="no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 w:hint="default"/>
        <w:u w:val="none"/>
      </w:rPr>
    </w:lvl>
    <w:lvl w:ilvl="2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 w:hint="default"/>
        <w:u w:val="none"/>
      </w:rPr>
    </w:lvl>
    <w:lvl w:ilvl="3">
      <w:start w:val="1"/>
      <w:numFmt w:val="lowerLetter"/>
      <w:lvlText w:val="(%4)"/>
      <w:lvlJc w:val="left"/>
      <w:pPr>
        <w:ind w:left="2520" w:hanging="360"/>
      </w:pPr>
      <w:rPr>
        <w:rFonts w:hint="default"/>
        <w:u w:val="none"/>
      </w:rPr>
    </w:lvl>
    <w:lvl w:ilvl="4">
      <w:start w:val="1"/>
      <w:numFmt w:val="lowerRoman"/>
      <w:lvlText w:val="(%5)"/>
      <w:lvlJc w:val="right"/>
      <w:pPr>
        <w:ind w:left="3240" w:hanging="360"/>
      </w:pPr>
      <w:rPr>
        <w:rFonts w:hint="default"/>
        <w:u w:val="none"/>
      </w:rPr>
    </w:lvl>
    <w:lvl w:ilvl="5">
      <w:start w:val="1"/>
      <w:numFmt w:val="decimal"/>
      <w:lvlText w:val="(%6)"/>
      <w:lvlJc w:val="left"/>
      <w:pPr>
        <w:ind w:left="3960" w:hanging="360"/>
      </w:pPr>
      <w:rPr>
        <w:rFonts w:hint="default"/>
        <w:u w:val="none"/>
      </w:rPr>
    </w:lvl>
    <w:lvl w:ilvl="6">
      <w:start w:val="1"/>
      <w:numFmt w:val="lowerLetter"/>
      <w:lvlText w:val="%7."/>
      <w:lvlJc w:val="left"/>
      <w:pPr>
        <w:ind w:left="4680" w:hanging="360"/>
      </w:pPr>
      <w:rPr>
        <w:rFonts w:hint="default"/>
        <w:u w:val="none"/>
      </w:rPr>
    </w:lvl>
    <w:lvl w:ilvl="7">
      <w:start w:val="1"/>
      <w:numFmt w:val="lowerRoman"/>
      <w:lvlText w:val="%8."/>
      <w:lvlJc w:val="right"/>
      <w:pPr>
        <w:ind w:left="5400" w:hanging="360"/>
      </w:pPr>
      <w:rPr>
        <w:rFonts w:hint="default"/>
        <w:u w:val="none"/>
      </w:rPr>
    </w:lvl>
    <w:lvl w:ilvl="8">
      <w:start w:val="1"/>
      <w:numFmt w:val="decimal"/>
      <w:lvlText w:val="%9."/>
      <w:lvlJc w:val="left"/>
      <w:pPr>
        <w:ind w:left="6120" w:hanging="360"/>
      </w:pPr>
      <w:rPr>
        <w:rFonts w:hint="default"/>
        <w:u w:val="none"/>
      </w:rPr>
    </w:lvl>
  </w:abstractNum>
  <w:abstractNum w:abstractNumId="11" w15:restartNumberingAfterBreak="0">
    <w:nsid w:val="55DE7F60"/>
    <w:multiLevelType w:val="multilevel"/>
    <w:tmpl w:val="92D69522"/>
    <w:lvl w:ilvl="0">
      <w:start w:val="2"/>
      <w:numFmt w:val="lowerLetter"/>
      <w:lvlText w:val="%1)"/>
      <w:lvlJc w:val="left"/>
      <w:pPr>
        <w:ind w:left="1776" w:hanging="360"/>
      </w:pPr>
      <w:rPr>
        <w:rFonts w:hint="default"/>
        <w:u w:val="none"/>
      </w:rPr>
    </w:lvl>
    <w:lvl w:ilvl="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u w:val="none"/>
      </w:rPr>
    </w:lvl>
    <w:lvl w:ilvl="2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  <w:u w:val="none"/>
      </w:rPr>
    </w:lvl>
    <w:lvl w:ilvl="3">
      <w:start w:val="1"/>
      <w:numFmt w:val="lowerLetter"/>
      <w:lvlText w:val="(%4)"/>
      <w:lvlJc w:val="left"/>
      <w:pPr>
        <w:ind w:left="3936" w:hanging="360"/>
      </w:pPr>
      <w:rPr>
        <w:rFonts w:hint="default"/>
        <w:u w:val="none"/>
      </w:rPr>
    </w:lvl>
    <w:lvl w:ilvl="4">
      <w:start w:val="1"/>
      <w:numFmt w:val="lowerRoman"/>
      <w:lvlText w:val="(%5)"/>
      <w:lvlJc w:val="right"/>
      <w:pPr>
        <w:ind w:left="4656" w:hanging="360"/>
      </w:pPr>
      <w:rPr>
        <w:rFonts w:hint="default"/>
        <w:u w:val="none"/>
      </w:rPr>
    </w:lvl>
    <w:lvl w:ilvl="5">
      <w:start w:val="1"/>
      <w:numFmt w:val="decimal"/>
      <w:lvlText w:val="(%6)"/>
      <w:lvlJc w:val="left"/>
      <w:pPr>
        <w:ind w:left="5376" w:hanging="360"/>
      </w:pPr>
      <w:rPr>
        <w:rFonts w:hint="default"/>
        <w:u w:val="none"/>
      </w:rPr>
    </w:lvl>
    <w:lvl w:ilvl="6">
      <w:start w:val="1"/>
      <w:numFmt w:val="lowerLetter"/>
      <w:lvlText w:val="%7."/>
      <w:lvlJc w:val="left"/>
      <w:pPr>
        <w:ind w:left="6096" w:hanging="360"/>
      </w:pPr>
      <w:rPr>
        <w:rFonts w:hint="default"/>
        <w:u w:val="none"/>
      </w:rPr>
    </w:lvl>
    <w:lvl w:ilvl="7">
      <w:start w:val="1"/>
      <w:numFmt w:val="lowerRoman"/>
      <w:lvlText w:val="%8."/>
      <w:lvlJc w:val="right"/>
      <w:pPr>
        <w:ind w:left="6816" w:hanging="360"/>
      </w:pPr>
      <w:rPr>
        <w:rFonts w:hint="default"/>
        <w:u w:val="none"/>
      </w:rPr>
    </w:lvl>
    <w:lvl w:ilvl="8">
      <w:start w:val="1"/>
      <w:numFmt w:val="decimal"/>
      <w:lvlText w:val="%9."/>
      <w:lvlJc w:val="left"/>
      <w:pPr>
        <w:ind w:left="7536" w:hanging="360"/>
      </w:pPr>
      <w:rPr>
        <w:rFonts w:hint="default"/>
        <w:u w:val="none"/>
      </w:rPr>
    </w:lvl>
  </w:abstractNum>
  <w:abstractNum w:abstractNumId="12" w15:restartNumberingAfterBreak="0">
    <w:nsid w:val="581F5ABB"/>
    <w:multiLevelType w:val="multilevel"/>
    <w:tmpl w:val="E39456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D272D2F"/>
    <w:multiLevelType w:val="hybridMultilevel"/>
    <w:tmpl w:val="5404763C"/>
    <w:lvl w:ilvl="0" w:tplc="44F4B5E4">
      <w:start w:val="1"/>
      <w:numFmt w:val="bullet"/>
      <w:lvlText w:val="-"/>
      <w:lvlJc w:val="left"/>
      <w:pPr>
        <w:ind w:left="1428" w:hanging="360"/>
      </w:pPr>
      <w:rPr>
        <w:rFonts w:ascii="Helvetica" w:hAnsi="Helvetica" w:hint="default"/>
        <w:color w:val="92D050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2933ED1"/>
    <w:multiLevelType w:val="hybridMultilevel"/>
    <w:tmpl w:val="76A41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5"/>
  </w:num>
  <w:num w:numId="5">
    <w:abstractNumId w:val="16"/>
  </w:num>
  <w:num w:numId="6">
    <w:abstractNumId w:val="8"/>
  </w:num>
  <w:num w:numId="7">
    <w:abstractNumId w:val="6"/>
  </w:num>
  <w:num w:numId="8">
    <w:abstractNumId w:val="4"/>
  </w:num>
  <w:num w:numId="9">
    <w:abstractNumId w:val="15"/>
  </w:num>
  <w:num w:numId="10">
    <w:abstractNumId w:val="14"/>
  </w:num>
  <w:num w:numId="11">
    <w:abstractNumId w:val="2"/>
  </w:num>
  <w:num w:numId="12">
    <w:abstractNumId w:val="11"/>
  </w:num>
  <w:num w:numId="13">
    <w:abstractNumId w:val="9"/>
  </w:num>
  <w:num w:numId="14">
    <w:abstractNumId w:val="0"/>
  </w:num>
  <w:num w:numId="15">
    <w:abstractNumId w:val="12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054D9"/>
    <w:rsid w:val="0001741C"/>
    <w:rsid w:val="00020F88"/>
    <w:rsid w:val="00055291"/>
    <w:rsid w:val="000858D1"/>
    <w:rsid w:val="0009125A"/>
    <w:rsid w:val="000D09B0"/>
    <w:rsid w:val="000E6A2B"/>
    <w:rsid w:val="001314BB"/>
    <w:rsid w:val="00132A12"/>
    <w:rsid w:val="00144D71"/>
    <w:rsid w:val="001571F9"/>
    <w:rsid w:val="001667EE"/>
    <w:rsid w:val="00183277"/>
    <w:rsid w:val="001C1C03"/>
    <w:rsid w:val="001F4B0A"/>
    <w:rsid w:val="002254A0"/>
    <w:rsid w:val="00247099"/>
    <w:rsid w:val="0026243D"/>
    <w:rsid w:val="002627CA"/>
    <w:rsid w:val="0027197C"/>
    <w:rsid w:val="002753FC"/>
    <w:rsid w:val="002C5352"/>
    <w:rsid w:val="002C70F5"/>
    <w:rsid w:val="002F545D"/>
    <w:rsid w:val="00355F4C"/>
    <w:rsid w:val="00377D7C"/>
    <w:rsid w:val="003B3E55"/>
    <w:rsid w:val="003B424C"/>
    <w:rsid w:val="003C677E"/>
    <w:rsid w:val="0043548F"/>
    <w:rsid w:val="00452AF2"/>
    <w:rsid w:val="00482920"/>
    <w:rsid w:val="004E2F2E"/>
    <w:rsid w:val="004F09A3"/>
    <w:rsid w:val="00502EBE"/>
    <w:rsid w:val="005E4902"/>
    <w:rsid w:val="0060145E"/>
    <w:rsid w:val="00602BD4"/>
    <w:rsid w:val="00660358"/>
    <w:rsid w:val="00686C89"/>
    <w:rsid w:val="006B06C6"/>
    <w:rsid w:val="006C146A"/>
    <w:rsid w:val="0077576C"/>
    <w:rsid w:val="00795064"/>
    <w:rsid w:val="007F37D2"/>
    <w:rsid w:val="007F6589"/>
    <w:rsid w:val="00815EC5"/>
    <w:rsid w:val="00834F8E"/>
    <w:rsid w:val="00841413"/>
    <w:rsid w:val="00856877"/>
    <w:rsid w:val="008720EA"/>
    <w:rsid w:val="008A66F5"/>
    <w:rsid w:val="00903C9D"/>
    <w:rsid w:val="00914197"/>
    <w:rsid w:val="00926C8D"/>
    <w:rsid w:val="009306C5"/>
    <w:rsid w:val="00942971"/>
    <w:rsid w:val="00957E03"/>
    <w:rsid w:val="00960C69"/>
    <w:rsid w:val="00986590"/>
    <w:rsid w:val="00A25FF8"/>
    <w:rsid w:val="00A72CB7"/>
    <w:rsid w:val="00A75F12"/>
    <w:rsid w:val="00A805A4"/>
    <w:rsid w:val="00AA6C24"/>
    <w:rsid w:val="00BC3ECC"/>
    <w:rsid w:val="00BE3F1F"/>
    <w:rsid w:val="00C246AD"/>
    <w:rsid w:val="00C2725C"/>
    <w:rsid w:val="00C27FAD"/>
    <w:rsid w:val="00C56C38"/>
    <w:rsid w:val="00CA1DD6"/>
    <w:rsid w:val="00CB7706"/>
    <w:rsid w:val="00CE0E6F"/>
    <w:rsid w:val="00D4596D"/>
    <w:rsid w:val="00DE075B"/>
    <w:rsid w:val="00E059BC"/>
    <w:rsid w:val="00E2110B"/>
    <w:rsid w:val="00E312AA"/>
    <w:rsid w:val="00E66354"/>
    <w:rsid w:val="00EB33FF"/>
    <w:rsid w:val="00ED2389"/>
    <w:rsid w:val="00EE2ACB"/>
    <w:rsid w:val="00EF2E36"/>
    <w:rsid w:val="00F205CA"/>
    <w:rsid w:val="00F73ACC"/>
    <w:rsid w:val="00F908E1"/>
    <w:rsid w:val="00FA4506"/>
    <w:rsid w:val="00FB7807"/>
    <w:rsid w:val="00FC1CDB"/>
    <w:rsid w:val="00FD3A15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  <w14:docId w14:val="39E54D10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  <w:style w:type="character" w:customStyle="1" w:styleId="inline-highlight">
    <w:name w:val="inline-highlight"/>
    <w:basedOn w:val="Fuentedeprrafopredeter"/>
    <w:rsid w:val="007F37D2"/>
  </w:style>
  <w:style w:type="table" w:styleId="Tablanormal4">
    <w:name w:val="Plain Table 4"/>
    <w:basedOn w:val="Tablanormal"/>
    <w:uiPriority w:val="44"/>
    <w:rsid w:val="002753F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DD0C7-A1D2-4DAF-A279-DDF2E7AD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675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2022-02-16T16:09:00Z</dcterms:created>
  <dcterms:modified xsi:type="dcterms:W3CDTF">2022-02-17T08:44:00Z</dcterms:modified>
</cp:coreProperties>
</file>