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"/>
        <w:numPr>
          <w:ilvl w:val="0"/>
          <w:numId w:val="2"/>
        </w:numP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 w:val="20"/>
        </w:rPr>
      </w:pPr>
      <w:r>
        <w:rPr>
          <w:rFonts w:cs="Arial" w:ascii="Arial" w:hAnsi="Arial"/>
          <w:b/>
          <w:bCs/>
          <w:color w:val="000000"/>
          <w:sz w:val="20"/>
        </w:rPr>
      </w:r>
    </w:p>
    <w:p>
      <w:pPr>
        <w:pStyle w:val="Normal"/>
        <w:jc w:val="center"/>
        <w:rPr>
          <w:sz w:val="20"/>
        </w:rPr>
      </w:pPr>
      <w:r>
        <w:rPr>
          <w:rFonts w:cs="Arial" w:ascii="Arial" w:hAnsi="Arial"/>
          <w:b/>
          <w:bCs/>
          <w:color w:val="000000"/>
          <w:sz w:val="20"/>
        </w:rPr>
        <w:t>ANEXO IV.</w:t>
      </w:r>
      <w:r>
        <w:rPr>
          <w:rFonts w:cs="Arial" w:ascii="Arial" w:hAnsi="Arial"/>
          <w:b/>
          <w:bCs/>
          <w:color w:val="000000"/>
          <w:spacing w:val="1"/>
          <w:sz w:val="20"/>
          <w:lang w:val="es-ES"/>
        </w:rPr>
        <w:t>MODELO DE AVAL PLANES DE REESTRUCTURACIÓN Y RECONVERSIÓN DE VIÑEDO</w:t>
      </w:r>
    </w:p>
    <w:p>
      <w:pPr>
        <w:pStyle w:val="Normal"/>
        <w:spacing w:before="240" w:after="240"/>
        <w:ind w:right="63" w:firstLine="708"/>
        <w:jc w:val="both"/>
        <w:rPr/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La 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Entidad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000000"/>
          <w:spacing w:val="-7"/>
          <w:sz w:val="22"/>
          <w:szCs w:val="22"/>
          <w:lang w:val="es-ES"/>
        </w:rPr>
        <w:t>z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ón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soc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al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de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a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dad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  c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éd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o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o  soc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edad 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  ga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an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í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a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ec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í</w:t>
      </w:r>
      <w:r>
        <w:rPr>
          <w:rFonts w:cs="Arial" w:ascii="Arial" w:hAnsi="Arial"/>
          <w:i/>
          <w:iCs/>
          <w:color w:val="000000"/>
          <w:spacing w:val="-3"/>
          <w:sz w:val="22"/>
          <w:szCs w:val="22"/>
          <w:lang w:val="es-ES"/>
        </w:rPr>
        <w:t>p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oca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)</w:t>
      </w:r>
      <w:r>
        <w:rPr>
          <w:rFonts w:cs="Arial" w:ascii="Arial" w:hAnsi="Arial"/>
          <w:color w:val="000000"/>
          <w:sz w:val="22"/>
          <w:szCs w:val="22"/>
          <w:lang w:val="es-ES"/>
        </w:rPr>
        <w:t>,</w:t>
      </w:r>
      <w:r>
        <w:rPr>
          <w:rFonts w:cs="Arial" w:ascii="Arial" w:hAnsi="Arial"/>
          <w:color w:val="000000"/>
          <w:spacing w:val="4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con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.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.</w:t>
      </w:r>
      <w:r>
        <w:rPr>
          <w:rFonts w:cs="Arial" w:ascii="Arial" w:hAnsi="Arial"/>
          <w:color w:val="000000"/>
          <w:sz w:val="22"/>
          <w:szCs w:val="22"/>
          <w:lang w:val="es-ES"/>
        </w:rPr>
        <w:t>F.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cód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go</w:t>
      </w:r>
      <w:r>
        <w:rPr>
          <w:rFonts w:cs="Arial" w:ascii="Arial" w:hAnsi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den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cac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ón</w:t>
      </w:r>
      <w:r>
        <w:rPr>
          <w:rFonts w:cs="Arial" w:ascii="Arial" w:hAnsi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sca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)</w:t>
      </w:r>
      <w:r>
        <w:rPr>
          <w:rFonts w:cs="Arial" w:ascii="Arial" w:hAnsi="Arial"/>
          <w:i/>
          <w:iCs/>
          <w:color w:val="000000"/>
          <w:spacing w:val="4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y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con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ili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5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2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de no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cac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ones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y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r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q</w:t>
      </w:r>
      <w:r>
        <w:rPr>
          <w:rFonts w:cs="Arial" w:ascii="Arial" w:hAnsi="Arial"/>
          <w:color w:val="000000"/>
          <w:sz w:val="22"/>
          <w:szCs w:val="22"/>
          <w:lang w:val="es-ES"/>
        </w:rPr>
        <w:t>ue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mi</w:t>
      </w:r>
      <w:r>
        <w:rPr>
          <w:rFonts w:cs="Arial" w:ascii="Arial" w:hAnsi="Arial"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en                                             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do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c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ili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)</w:t>
      </w:r>
      <w:r>
        <w:rPr>
          <w:rFonts w:cs="Arial" w:ascii="Arial" w:hAnsi="Arial"/>
          <w:color w:val="000000"/>
          <w:sz w:val="22"/>
          <w:szCs w:val="22"/>
          <w:lang w:val="es-ES"/>
        </w:rPr>
        <w:t>, y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z w:val="22"/>
          <w:szCs w:val="22"/>
          <w:lang w:val="es-ES"/>
        </w:rPr>
        <w:t>n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su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n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z w:val="22"/>
          <w:szCs w:val="22"/>
          <w:lang w:val="es-ES"/>
        </w:rPr>
        <w:t>b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e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n</w:t>
      </w:r>
      <w:r>
        <w:rPr>
          <w:rFonts w:cs="Arial" w:ascii="Arial" w:hAnsi="Arial"/>
          <w:i/>
          <w:iCs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b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e y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ape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lli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dos</w:t>
      </w:r>
      <w:r>
        <w:rPr>
          <w:rFonts w:cs="Arial" w:ascii="Arial" w:hAnsi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bCs/>
          <w:i/>
          <w:iCs/>
          <w:color w:val="000000"/>
          <w:spacing w:val="3"/>
          <w:sz w:val="22"/>
          <w:szCs w:val="22"/>
          <w:lang w:val="es-ES"/>
        </w:rPr>
        <w:t>las personas</w:t>
      </w:r>
      <w:r>
        <w:rPr>
          <w:rFonts w:cs="Arial" w:ascii="Arial" w:hAnsi="Arial"/>
          <w:bCs/>
          <w:i/>
          <w:iCs/>
          <w:color w:val="000000"/>
          <w:sz w:val="22"/>
          <w:szCs w:val="22"/>
          <w:lang w:val="es-ES"/>
        </w:rPr>
        <w:t xml:space="preserve"> apode</w:t>
      </w:r>
      <w:r>
        <w:rPr>
          <w:rFonts w:cs="Arial" w:ascii="Arial" w:hAnsi="Arial"/>
          <w:bCs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bCs/>
          <w:i/>
          <w:iCs/>
          <w:color w:val="000000"/>
          <w:sz w:val="22"/>
          <w:szCs w:val="22"/>
          <w:lang w:val="es-ES"/>
        </w:rPr>
        <w:t>adas)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con pod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es s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u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es pa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a ob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g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z w:val="22"/>
          <w:szCs w:val="22"/>
          <w:lang w:val="es-ES"/>
        </w:rPr>
        <w:t>e en es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e ac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z w:val="22"/>
          <w:szCs w:val="22"/>
          <w:lang w:val="es-ES"/>
        </w:rPr>
        <w:t>,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s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g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ún 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z w:val="22"/>
          <w:szCs w:val="22"/>
          <w:lang w:val="es-ES"/>
        </w:rPr>
        <w:t>su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a del bas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an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eo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pod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es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q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u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se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eseña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z w:val="22"/>
          <w:szCs w:val="22"/>
          <w:lang w:val="es-ES"/>
        </w:rPr>
        <w:t>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p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rt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 xml:space="preserve"> i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n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or de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2"/>
          <w:sz w:val="22"/>
          <w:szCs w:val="22"/>
          <w:lang w:val="es-ES"/>
        </w:rPr>
        <w:t>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docu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n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o.</w:t>
      </w:r>
    </w:p>
    <w:p>
      <w:pPr>
        <w:pStyle w:val="Normal"/>
        <w:spacing w:before="240" w:after="240"/>
        <w:ind w:right="20" w:hanging="0"/>
        <w:jc w:val="center"/>
        <w:rPr/>
      </w:pP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b/>
          <w:bCs/>
          <w:color w:val="000000"/>
          <w:spacing w:val="-2"/>
          <w:sz w:val="22"/>
          <w:szCs w:val="22"/>
          <w:lang w:val="es-ES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>V</w:t>
      </w:r>
      <w:r>
        <w:rPr>
          <w:rFonts w:cs="Arial" w:ascii="Arial" w:hAnsi="Arial"/>
          <w:b/>
          <w:bCs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b/>
          <w:bCs/>
          <w:color w:val="000000"/>
          <w:spacing w:val="-4"/>
          <w:sz w:val="22"/>
          <w:szCs w:val="22"/>
          <w:lang w:val="es-ES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>L</w:t>
      </w:r>
      <w:r>
        <w:rPr>
          <w:rFonts w:cs="Arial" w:ascii="Arial" w:hAnsi="Arial"/>
          <w:b/>
          <w:bCs/>
          <w:color w:val="000000"/>
          <w:spacing w:val="6"/>
          <w:sz w:val="22"/>
          <w:szCs w:val="22"/>
          <w:lang w:val="es-ES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>A</w:t>
      </w:r>
    </w:p>
    <w:p>
      <w:pPr>
        <w:pStyle w:val="Normal"/>
        <w:spacing w:before="240" w:after="240"/>
        <w:ind w:right="63" w:firstLine="708"/>
        <w:jc w:val="both"/>
        <w:rPr/>
      </w:pPr>
      <w:r>
        <w:rPr>
          <w:rFonts w:cs="Arial" w:ascii="Arial" w:hAnsi="Arial"/>
          <w:color w:val="000000"/>
          <w:sz w:val="22"/>
          <w:szCs w:val="22"/>
          <w:lang w:val="es-ES"/>
        </w:rPr>
        <w:t>D</w:t>
      </w:r>
      <w:bookmarkStart w:id="0" w:name="_GoBack"/>
      <w:bookmarkEnd w:id="0"/>
      <w:r>
        <w:rPr>
          <w:rFonts w:cs="Arial" w:ascii="Arial" w:hAnsi="Arial"/>
          <w:color w:val="000000"/>
          <w:sz w:val="22"/>
          <w:szCs w:val="22"/>
          <w:lang w:val="es-ES"/>
        </w:rPr>
        <w:t>. (nombre y apellidos o razón social de</w:t>
      </w:r>
      <w:r>
        <w:rPr>
          <w:rFonts w:cs="Arial" w:ascii="Arial" w:hAnsi="Arial"/>
          <w:b/>
          <w:bCs/>
          <w:color w:val="000000"/>
          <w:sz w:val="22"/>
          <w:szCs w:val="22"/>
          <w:lang w:val="es-ES"/>
        </w:rPr>
        <w:t xml:space="preserve"> </w:t>
      </w:r>
      <w:r>
        <w:rPr>
          <w:rFonts w:cs="Arial" w:ascii="Arial" w:hAnsi="Arial"/>
          <w:bCs/>
          <w:color w:val="000000"/>
          <w:sz w:val="22"/>
          <w:szCs w:val="22"/>
          <w:lang w:val="es-ES"/>
        </w:rPr>
        <w:t>la persona avalada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), con C.I.F (código de identificación fiscal), en virtud de lo dispuesto en la Ley 5/2015, de 25 de marzo, de Subvenciones de Aragón y en el Decreto 136/2013, de 30 de julio, del Gobierno de Aragón, sobre subvenciones en materia de agricultura, ganadería y medio ambiente, ante el/la (nombre del  departamento/ dirección general/ organismo) del Gobierno de Aragón, por importe de (en cifra y en letra) euros, como garantía del cumplimiento de las obligaciones que le atañen como </w:t>
      </w:r>
      <w:r>
        <w:rPr>
          <w:rFonts w:cs="Arial" w:ascii="Arial" w:hAnsi="Arial"/>
          <w:bCs/>
          <w:color w:val="000000"/>
          <w:sz w:val="22"/>
          <w:szCs w:val="22"/>
          <w:lang w:val="es-ES"/>
        </w:rPr>
        <w:t>persona beneficiaria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de subvenciones destinadas a la reestructuración y reconversión de viñedos de conformidad con la Orden AGM/XXX/2021, de , por la que se convocan las subvenciones para la reestructuración y reconversión de viñedo, establecidas en el Real Decreto 1363/2018, de 2 de noviembre, para la aplicación de las medidas del programa de apoyo 2019-2023 al sector vitivinícola español.</w:t>
      </w:r>
    </w:p>
    <w:p>
      <w:pPr>
        <w:pStyle w:val="Normal"/>
        <w:spacing w:before="240" w:after="240"/>
        <w:ind w:right="66" w:firstLine="708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La entidad avalista declara, bajo su responsabilidad, que cumple los requisitos previstos en el artículo 25 del Reglamento de la Caja General de Depósitos, aprobado por Real Decreto 937/2020, de 27 de octubre. </w:t>
      </w:r>
    </w:p>
    <w:p>
      <w:pPr>
        <w:pStyle w:val="Normal"/>
        <w:spacing w:before="240" w:after="240"/>
        <w:ind w:right="66" w:firstLine="708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>Este aval se otorga solidariamente respecto al obligado principal, con renuncia expresa a los beneficios de excusión y división y con compromiso de pago al primer requerimiento de la Caja General de Depósitos de la Diputación General de Aragón con sujeción a lo establecido en los artículos 24 y siguientes del citado Reglamento de la Caja General de Depósitos.</w:t>
      </w:r>
    </w:p>
    <w:p>
      <w:pPr>
        <w:pStyle w:val="Normal"/>
        <w:spacing w:before="240" w:after="240"/>
        <w:ind w:right="66" w:firstLine="708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>El presente aval tiene carácter indefinido y permanecerá en vigor hasta que el órgano a cuya disposición se constituyó resuelva expresamente declarar la extinción de la obligación garantizada y autorice su cancelación o devolución.</w:t>
      </w:r>
    </w:p>
    <w:p>
      <w:pPr>
        <w:pStyle w:val="Normal"/>
        <w:spacing w:before="240" w:after="240"/>
        <w:ind w:firstLine="708"/>
        <w:rPr/>
      </w:pP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pacing w:val="17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p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esen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-2"/>
          <w:sz w:val="22"/>
          <w:szCs w:val="22"/>
          <w:lang w:val="es-ES"/>
        </w:rPr>
        <w:t>v</w:t>
      </w:r>
      <w:r>
        <w:rPr>
          <w:rFonts w:cs="Arial" w:ascii="Arial" w:hAnsi="Arial"/>
          <w:color w:val="000000"/>
          <w:sz w:val="22"/>
          <w:szCs w:val="22"/>
          <w:lang w:val="es-ES"/>
        </w:rPr>
        <w:t>al</w:t>
      </w:r>
      <w:r>
        <w:rPr>
          <w:rFonts w:cs="Arial" w:ascii="Arial" w:hAnsi="Arial"/>
          <w:color w:val="000000"/>
          <w:spacing w:val="20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ha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s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do</w:t>
      </w:r>
      <w:r>
        <w:rPr>
          <w:rFonts w:cs="Arial" w:ascii="Arial" w:hAnsi="Arial"/>
          <w:color w:val="000000"/>
          <w:spacing w:val="20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nsc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z w:val="22"/>
          <w:szCs w:val="22"/>
          <w:lang w:val="es-ES"/>
        </w:rPr>
        <w:t>echa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el</w:t>
      </w:r>
      <w:r>
        <w:rPr>
          <w:rFonts w:cs="Arial" w:ascii="Arial" w:hAnsi="Arial"/>
          <w:color w:val="000000"/>
          <w:spacing w:val="17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g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s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tr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18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z w:val="22"/>
          <w:szCs w:val="22"/>
          <w:lang w:val="es-ES"/>
        </w:rPr>
        <w:t>spec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al</w:t>
      </w:r>
      <w:r>
        <w:rPr>
          <w:rFonts w:cs="Arial" w:ascii="Arial" w:hAnsi="Arial"/>
          <w:color w:val="000000"/>
          <w:spacing w:val="17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de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-2"/>
          <w:sz w:val="22"/>
          <w:szCs w:val="22"/>
          <w:lang w:val="es-ES"/>
        </w:rPr>
        <w:t>v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color w:val="000000"/>
          <w:sz w:val="22"/>
          <w:szCs w:val="22"/>
          <w:lang w:val="es-ES"/>
        </w:rPr>
        <w:t>es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con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el nú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pacing w:val="-3"/>
          <w:sz w:val="22"/>
          <w:szCs w:val="22"/>
          <w:lang w:val="es-ES"/>
        </w:rPr>
        <w:t>n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ú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ava</w:t>
      </w:r>
      <w:r>
        <w:rPr>
          <w:rFonts w:cs="Arial" w:ascii="Arial" w:hAnsi="Arial"/>
          <w:i/>
          <w:iCs/>
          <w:color w:val="000000"/>
          <w:spacing w:val="-3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)</w:t>
      </w:r>
      <w:r>
        <w:rPr>
          <w:rFonts w:cs="Arial" w:ascii="Arial" w:hAnsi="Arial"/>
          <w:color w:val="000000"/>
          <w:sz w:val="22"/>
          <w:szCs w:val="22"/>
          <w:lang w:val="es-ES"/>
        </w:rPr>
        <w:t>.</w:t>
      </w:r>
    </w:p>
    <w:p>
      <w:pPr>
        <w:pStyle w:val="Normal"/>
        <w:spacing w:before="240" w:after="240"/>
        <w:ind w:right="20" w:hanging="0"/>
        <w:jc w:val="center"/>
        <w:rPr/>
      </w:pP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Luga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,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 xml:space="preserve">echa,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000000"/>
          <w:spacing w:val="-7"/>
          <w:sz w:val="22"/>
          <w:szCs w:val="22"/>
          <w:lang w:val="es-ES"/>
        </w:rPr>
        <w:t>z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ón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soc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al de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E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n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dad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y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m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as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os</w:t>
      </w:r>
      <w:r>
        <w:rPr>
          <w:rFonts w:cs="Arial" w:ascii="Arial" w:hAnsi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apode</w:t>
      </w:r>
      <w:r>
        <w:rPr>
          <w:rFonts w:cs="Arial" w:ascii="Arial" w:hAnsi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ad</w:t>
      </w:r>
      <w:r>
        <w:rPr>
          <w:rFonts w:cs="Arial" w:ascii="Arial" w:hAnsi="Arial"/>
          <w:i/>
          <w:iCs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  <w:t>s)</w:t>
      </w:r>
    </w:p>
    <w:p>
      <w:pPr>
        <w:pStyle w:val="Normal"/>
        <w:spacing w:before="240" w:after="240"/>
        <w:ind w:right="2145" w:hanging="0"/>
        <w:jc w:val="both"/>
        <w:rPr>
          <w:rFonts w:ascii="Arial" w:hAnsi="Arial" w:cs="Arial"/>
          <w:i/>
          <w:i/>
          <w:iCs/>
          <w:color w:val="000000"/>
          <w:sz w:val="22"/>
          <w:szCs w:val="22"/>
          <w:lang w:val="es-ES"/>
        </w:rPr>
      </w:pP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</w:r>
    </w:p>
    <w:p>
      <w:pPr>
        <w:pStyle w:val="Normal"/>
        <w:spacing w:before="240" w:after="240"/>
        <w:ind w:right="2145" w:hanging="0"/>
        <w:jc w:val="both"/>
        <w:rPr>
          <w:rFonts w:ascii="Arial" w:hAnsi="Arial" w:cs="Arial"/>
          <w:i/>
          <w:i/>
          <w:iCs/>
          <w:color w:val="000000"/>
          <w:sz w:val="22"/>
          <w:szCs w:val="22"/>
          <w:lang w:val="es-ES"/>
        </w:rPr>
      </w:pP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</w:r>
    </w:p>
    <w:p>
      <w:pPr>
        <w:pStyle w:val="Normal"/>
        <w:spacing w:before="240" w:after="240"/>
        <w:ind w:right="2145" w:hanging="0"/>
        <w:jc w:val="both"/>
        <w:rPr>
          <w:rFonts w:ascii="Arial" w:hAnsi="Arial" w:cs="Arial"/>
          <w:i/>
          <w:i/>
          <w:iCs/>
          <w:color w:val="000000"/>
          <w:sz w:val="22"/>
          <w:szCs w:val="22"/>
          <w:lang w:val="es-ES"/>
        </w:rPr>
      </w:pP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</w:r>
    </w:p>
    <w:tbl>
      <w:tblPr>
        <w:tblW w:w="9855" w:type="dxa"/>
        <w:jc w:val="left"/>
        <w:tblInd w:w="1" w:type="dxa"/>
        <w:tblBorders>
          <w:top w:val="single" w:sz="6" w:space="0" w:color="000001"/>
          <w:left w:val="single" w:sz="6" w:space="0" w:color="000001"/>
          <w:right w:val="single" w:sz="6" w:space="0" w:color="000001"/>
          <w:insideV w:val="single" w:sz="6" w:space="0" w:color="000001"/>
        </w:tblBorders>
        <w:tblCellMar>
          <w:top w:w="0" w:type="dxa"/>
          <w:left w:w="-7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2976"/>
        <w:gridCol w:w="2978"/>
        <w:gridCol w:w="3901"/>
      </w:tblGrid>
      <w:tr>
        <w:trPr>
          <w:trHeight w:val="521" w:hRule="exact"/>
        </w:trPr>
        <w:tc>
          <w:tcPr>
            <w:tcW w:w="9855" w:type="dxa"/>
            <w:gridSpan w:val="3"/>
            <w:tcBorders>
              <w:top w:val="single" w:sz="6" w:space="0" w:color="000001"/>
              <w:left w:val="single" w:sz="6" w:space="0" w:color="000001"/>
              <w:right w:val="single" w:sz="6" w:space="0" w:color="000001"/>
              <w:insideV w:val="single" w:sz="6" w:space="0" w:color="000001"/>
            </w:tcBorders>
            <w:shd w:color="auto" w:fill="auto" w:val="clear"/>
            <w:tcMar>
              <w:left w:w="-7" w:type="dxa"/>
            </w:tcMar>
          </w:tcPr>
          <w:p>
            <w:pPr>
              <w:pStyle w:val="Normal"/>
              <w:spacing w:lineRule="exact" w:line="240" w:before="1" w:after="0"/>
              <w:ind w:right="337" w:hanging="0"/>
              <w:jc w:val="center"/>
              <w:rPr/>
            </w:pP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VERIFICACIÓN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LA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 REPRESENTACIÓN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PO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R LA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ASESORÍA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 JURÍDICA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 xml:space="preserve">LA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G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A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. O ABOGACÍA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3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L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ES</w:t>
            </w:r>
            <w:r>
              <w:rPr>
                <w:rFonts w:cs="Arial" w:ascii="Arial" w:hAnsi="Arial"/>
                <w:color w:val="000000"/>
                <w:spacing w:val="2"/>
                <w:sz w:val="22"/>
                <w:szCs w:val="22"/>
                <w:lang w:val="es-ES"/>
              </w:rPr>
              <w:t>T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ADO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:</w:t>
            </w:r>
          </w:p>
        </w:tc>
      </w:tr>
      <w:tr>
        <w:trPr>
          <w:trHeight w:val="521" w:hRule="exact"/>
        </w:trPr>
        <w:tc>
          <w:tcPr>
            <w:tcW w:w="2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auto" w:val="clear"/>
            <w:tcMar>
              <w:left w:w="-7" w:type="dxa"/>
            </w:tcMar>
          </w:tcPr>
          <w:p>
            <w:pPr>
              <w:pStyle w:val="Normal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P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</w:rPr>
              <w:t>v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nc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a:</w:t>
            </w:r>
          </w:p>
        </w:tc>
        <w:tc>
          <w:tcPr>
            <w:tcW w:w="29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auto" w:val="clear"/>
            <w:tcMar>
              <w:left w:w="-7" w:type="dxa"/>
            </w:tcMar>
          </w:tcPr>
          <w:p>
            <w:pPr>
              <w:pStyle w:val="Normal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9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auto" w:val="clear"/>
            <w:tcMar>
              <w:left w:w="-7" w:type="dxa"/>
            </w:tcMar>
          </w:tcPr>
          <w:p>
            <w:pPr>
              <w:pStyle w:val="Normal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N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ú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m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y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 xml:space="preserve"> C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ód</w:t>
            </w:r>
            <w:r>
              <w:rPr>
                <w:rFonts w:cs="Arial" w:ascii="Arial" w:hAnsi="Arial"/>
                <w:color w:val="000000"/>
                <w:spacing w:val="-3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pacing w:val="2"/>
                <w:sz w:val="22"/>
                <w:szCs w:val="22"/>
              </w:rPr>
              <w:t>g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o:</w:t>
            </w:r>
          </w:p>
        </w:tc>
      </w:tr>
    </w:tbl>
    <w:p>
      <w:pPr>
        <w:pStyle w:val="Cabecera"/>
        <w:jc w:val="both"/>
        <w:rPr>
          <w:color w:val="000000"/>
          <w:szCs w:val="24"/>
        </w:rPr>
      </w:pPr>
      <w:r>
        <w:rPr>
          <w:color w:val="000000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Cs w:val="24"/>
        </w:rPr>
      </w:pPr>
      <w:r>
        <w:rPr>
          <w:rFonts w:cs="Arial" w:ascii="Arial" w:hAnsi="Arial"/>
          <w:b/>
          <w:bCs/>
          <w:color w:val="000000"/>
          <w:szCs w:val="24"/>
        </w:rPr>
      </w:r>
    </w:p>
    <w:p>
      <w:pPr>
        <w:pStyle w:val="Ttulo11"/>
        <w:spacing w:before="0" w:after="0"/>
        <w:ind w:right="664" w:hanging="0"/>
        <w:jc w:val="left"/>
        <w:rPr>
          <w:b w:val="false"/>
          <w:b w:val="false"/>
          <w:sz w:val="22"/>
          <w:szCs w:val="22"/>
        </w:rPr>
      </w:pPr>
      <w:r>
        <w:rPr>
          <w:b/>
          <w:bCs/>
          <w:color w:val="00000A"/>
          <w:sz w:val="22"/>
          <w:szCs w:val="22"/>
        </w:rPr>
        <w:t>DIRECCIÓN GENERAL DE INNOVACIÓN Y PROMOCIÓN AGROALIMENTARIA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left"/>
        <w:rPr/>
      </w:pPr>
      <w:r>
        <w:rPr>
          <w:rFonts w:ascii="Calibri" w:hAnsi="Calibri"/>
          <w:sz w:val="20"/>
          <w:szCs w:val="20"/>
        </w:rPr>
        <w:t xml:space="preserve">El responsable del tratamiento de tus datos personales es: DIRECCIÓN GENERAL DE INNOVACIÓN Y PROMOCIÓN AGROALIMENTARIA. La finalidad de este tratamiento es: Obtención de datos de carácter personal de los interesado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2">
        <w:r>
          <w:rPr>
            <w:rStyle w:val="EnlacedeInternet"/>
            <w:rFonts w:ascii="Calibri" w:hAnsi="Calibri"/>
            <w:sz w:val="20"/>
            <w:szCs w:val="20"/>
          </w:rPr>
          <w:t>acceso</w:t>
        </w:r>
      </w:hyperlink>
      <w:r>
        <w:rPr>
          <w:rFonts w:ascii="Calibri" w:hAnsi="Calibri"/>
          <w:sz w:val="20"/>
          <w:szCs w:val="20"/>
        </w:rPr>
        <w:t xml:space="preserve">, </w:t>
      </w:r>
      <w:hyperlink r:id="rId3">
        <w:r>
          <w:rPr>
            <w:rStyle w:val="EnlacedeInternet"/>
            <w:rFonts w:ascii="Calibri" w:hAnsi="Calibri"/>
            <w:sz w:val="20"/>
            <w:szCs w:val="20"/>
          </w:rPr>
          <w:t>rectificación</w:t>
        </w:r>
      </w:hyperlink>
      <w:r>
        <w:rPr>
          <w:rFonts w:ascii="Calibri" w:hAnsi="Calibri"/>
          <w:sz w:val="20"/>
          <w:szCs w:val="20"/>
        </w:rPr>
        <w:t xml:space="preserve">, </w:t>
      </w:r>
      <w:hyperlink r:id="rId4">
        <w:r>
          <w:rPr>
            <w:rStyle w:val="EnlacedeInternet"/>
            <w:rFonts w:ascii="Calibri" w:hAnsi="Calibri"/>
            <w:sz w:val="20"/>
            <w:szCs w:val="20"/>
          </w:rPr>
          <w:t>supresión</w:t>
        </w:r>
      </w:hyperlink>
      <w:r>
        <w:rPr>
          <w:rFonts w:ascii="Calibri" w:hAnsi="Calibri"/>
          <w:sz w:val="20"/>
          <w:szCs w:val="20"/>
        </w:rPr>
        <w:t xml:space="preserve"> ,</w:t>
      </w:r>
      <w:hyperlink r:id="rId5">
        <w:r>
          <w:rPr>
            <w:rStyle w:val="EnlacedeInternet"/>
            <w:rFonts w:ascii="Calibri" w:hAnsi="Calibri"/>
            <w:sz w:val="20"/>
            <w:szCs w:val="20"/>
          </w:rPr>
          <w:t>portabilidad de los datos</w:t>
        </w:r>
      </w:hyperlink>
      <w:r>
        <w:rPr>
          <w:rFonts w:ascii="Calibri" w:hAnsi="Calibri"/>
          <w:sz w:val="20"/>
          <w:szCs w:val="20"/>
        </w:rPr>
        <w:t xml:space="preserve"> , y los de </w:t>
      </w:r>
      <w:hyperlink r:id="rId6">
        <w:r>
          <w:rPr>
            <w:rStyle w:val="EnlacedeInternet"/>
            <w:rFonts w:ascii="Calibri" w:hAnsi="Calibri"/>
            <w:sz w:val="20"/>
            <w:szCs w:val="20"/>
          </w:rPr>
          <w:t>limitación</w:t>
        </w:r>
      </w:hyperlink>
      <w:r>
        <w:rPr>
          <w:rFonts w:ascii="Calibri" w:hAnsi="Calibri"/>
          <w:sz w:val="20"/>
          <w:szCs w:val="20"/>
        </w:rPr>
        <w:t xml:space="preserve"> y </w:t>
      </w:r>
      <w:hyperlink r:id="rId7">
        <w:r>
          <w:rPr>
            <w:rStyle w:val="EnlacedeInternet"/>
            <w:rFonts w:ascii="Calibri" w:hAnsi="Calibri"/>
            <w:sz w:val="20"/>
            <w:szCs w:val="20"/>
          </w:rPr>
          <w:t>oposición a los tratamientos</w:t>
        </w:r>
      </w:hyperlink>
      <w:r>
        <w:rPr>
          <w:rFonts w:ascii="Calibri" w:hAnsi="Calibri"/>
          <w:sz w:val="20"/>
          <w:szCs w:val="20"/>
        </w:rPr>
        <w:t xml:space="preserve"> , así como a </w:t>
      </w:r>
      <w:hyperlink r:id="rId8">
        <w:r>
          <w:rPr>
            <w:rStyle w:val="EnlacedeInternet"/>
            <w:rFonts w:ascii="Calibri" w:hAnsi="Calibri"/>
            <w:sz w:val="20"/>
            <w:szCs w:val="20"/>
          </w:rPr>
          <w:t>no ser objeto de decisiones individuales automatizadas</w:t>
        </w:r>
      </w:hyperlink>
      <w:r>
        <w:rPr>
          <w:rFonts w:ascii="Calibri" w:hAnsi="Calibri"/>
          <w:sz w:val="20"/>
          <w:szCs w:val="20"/>
        </w:rPr>
        <w:t xml:space="preserve"> , a través de la sede electrónica de la Administración de la Comunidad Autónoma de Aragón con los formularios normalizados disponibles.</w:t>
        <w:br/>
        <w:t xml:space="preserve">Puedes obtener información adicional en el Registro de Actividades de Tratamiento del Gobierno de Aragón “REGISTRO VITÍCOLA“, en el siguiente enlace </w:t>
      </w:r>
      <w:hyperlink r:id="rId9">
        <w:r>
          <w:rPr>
            <w:rStyle w:val="EnlacedeInternet"/>
            <w:rFonts w:ascii="Calibri" w:hAnsi="Calibri"/>
            <w:sz w:val="20"/>
            <w:szCs w:val="20"/>
          </w:rPr>
          <w:t>https://aplicaciones.aragon.es/notif_lopd_pub/details.action?fileId=162</w:t>
        </w:r>
      </w:hyperlink>
      <w:r>
        <w:rPr>
          <w:rFonts w:ascii="Calibri" w:hAnsi="Calibri"/>
          <w:sz w:val="20"/>
          <w:szCs w:val="20"/>
        </w:rPr>
        <w:t xml:space="preserve"> </w:t>
      </w:r>
    </w:p>
    <w:sectPr>
      <w:headerReference w:type="default" r:id="rId10"/>
      <w:type w:val="nextPage"/>
      <w:pgSz w:w="11906" w:h="16838"/>
      <w:pgMar w:left="788" w:right="818" w:header="936" w:top="993" w:footer="0" w:bottom="993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EUAlberti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enter" w:pos="4252" w:leader="none"/>
        <w:tab w:val="center" w:pos="7920" w:leader="none"/>
        <w:tab w:val="right" w:pos="8504" w:leader="none"/>
        <w:tab w:val="right" w:pos="14940" w:leader="none"/>
      </w:tabs>
      <w:rPr/>
    </w:pPr>
    <w:r>
      <w:rPr/>
      <w:drawing>
        <wp:inline distT="0" distB="0" distL="0" distR="0">
          <wp:extent cx="1661160" cy="601980"/>
          <wp:effectExtent l="0" t="0" r="0" b="0"/>
          <wp:docPr id="1" name="Imagen 3" descr="C:\Users\jserranogo\AppData\Local\Temp\$$_EF43\jpg\Agricultura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C:\Users\jserranogo\AppData\Local\Temp\$$_EF43\jpg\Agricultura C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  <w:r>
      <w:rPr/>
      <w:drawing>
        <wp:inline distT="0" distB="0" distL="0" distR="0">
          <wp:extent cx="2095500" cy="594360"/>
          <wp:effectExtent l="0" t="0" r="0" b="0"/>
          <wp:docPr id="2" name="Imagen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222" t="-855" r="-222" b="-855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708" w:hanging="0"/>
      <w:jc w:val="both"/>
      <w:outlineLvl w:val="1"/>
    </w:pPr>
    <w:rPr>
      <w:rFonts w:ascii="Arial" w:hAnsi="Arial" w:cs="Arial"/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5" w:customStyle="1">
    <w:name w:val="Fuente de párrafo predeter.5"/>
    <w:qFormat/>
    <w:rPr/>
  </w:style>
  <w:style w:type="character" w:styleId="Fuentedeprrafopredeter4" w:customStyle="1">
    <w:name w:val="Fuente de párrafo predeter.4"/>
    <w:qFormat/>
    <w:rPr/>
  </w:style>
  <w:style w:type="character" w:styleId="Fuentedeprrafopredeter3" w:customStyle="1">
    <w:name w:val="Fuente de párrafo predeter.3"/>
    <w:qFormat/>
    <w:rPr/>
  </w:style>
  <w:style w:type="character" w:styleId="WW8Num2z0" w:customStyle="1">
    <w:name w:val="WW8Num2z0"/>
    <w:qFormat/>
    <w:rPr>
      <w:sz w:val="20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Symbol" w:hAnsi="Symbol" w:cs="Symbol"/>
      <w:sz w:val="16"/>
      <w:szCs w:val="16"/>
      <w:lang w:val="es-ES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Symbol" w:hAnsi="Symbol" w:cs="Symbol"/>
      <w:color w:val="00000A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>
      <w:rFonts w:ascii="Arial" w:hAnsi="Arial" w:cs="Arial"/>
      <w:sz w:val="18"/>
    </w:rPr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rFonts w:ascii="Symbol" w:hAnsi="Symbol" w:cs="Symbol"/>
      <w:color w:val="FF0000"/>
      <w:sz w:val="16"/>
      <w:szCs w:val="16"/>
    </w:rPr>
  </w:style>
  <w:style w:type="character" w:styleId="WW8Num10z0" w:customStyle="1">
    <w:name w:val="WW8Num10z0"/>
    <w:qFormat/>
    <w:rPr>
      <w:rFonts w:ascii="Times New Roman" w:hAnsi="Times New Roman" w:cs="Times New Roman"/>
      <w:sz w:val="20"/>
    </w:rPr>
  </w:style>
  <w:style w:type="character" w:styleId="WW8Num11z0" w:customStyle="1">
    <w:name w:val="WW8Num11z0"/>
    <w:qFormat/>
    <w:rPr>
      <w:rFonts w:ascii="Symbol" w:hAnsi="Symbol" w:cs="Symbol"/>
      <w:sz w:val="16"/>
      <w:szCs w:val="16"/>
    </w:rPr>
  </w:style>
  <w:style w:type="character" w:styleId="WW8Num12z0" w:customStyle="1">
    <w:name w:val="WW8Num12z0"/>
    <w:qFormat/>
    <w:rPr>
      <w:rFonts w:ascii="Arial" w:hAnsi="Arial" w:cs="Arial"/>
      <w:sz w:val="16"/>
      <w:szCs w:val="16"/>
    </w:rPr>
  </w:style>
  <w:style w:type="character" w:styleId="Fuentedeprrafopredeter2" w:customStyle="1">
    <w:name w:val="Fuente de párrafo predeter.2"/>
    <w:qFormat/>
    <w:rPr/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>
      <w:b/>
      <w:i w:val="false"/>
      <w:sz w:val="24"/>
      <w:szCs w:val="24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4" w:customStyle="1">
    <w:name w:val="WW8Num9z4"/>
    <w:qFormat/>
    <w:rPr>
      <w:rFonts w:ascii="Courier New" w:hAnsi="Courier New" w:cs="Courier New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3z0" w:customStyle="1">
    <w:name w:val="WW8Num13z0"/>
    <w:qFormat/>
    <w:rPr>
      <w:rFonts w:ascii="Symbol" w:hAnsi="Symbol" w:cs="Symbol"/>
      <w:sz w:val="16"/>
      <w:szCs w:val="16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Arial" w:hAnsi="Arial" w:cs="Arial"/>
      <w:sz w:val="16"/>
      <w:szCs w:val="16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Fuentedeprrafopredeter1" w:customStyle="1">
    <w:name w:val="Fuente de párrafo predeter.1"/>
    <w:qFormat/>
    <w:rPr/>
  </w:style>
  <w:style w:type="character" w:styleId="CarCar" w:customStyle="1">
    <w:name w:val="Car Car"/>
    <w:qFormat/>
    <w:rPr>
      <w:rFonts w:ascii="Arial" w:hAnsi="Arial" w:cs="Arial"/>
      <w:sz w:val="24"/>
      <w:lang w:val="en-US" w:bidi="ar-SA"/>
    </w:rPr>
  </w:style>
  <w:style w:type="character" w:styleId="Textoazul1accesiblenormal" w:customStyle="1">
    <w:name w:val="textoazul1accesible normal"/>
    <w:basedOn w:val="Fuentedeprrafopredeter1"/>
    <w:qFormat/>
    <w:rPr/>
  </w:style>
  <w:style w:type="character" w:styleId="EncabezadoCar" w:customStyle="1">
    <w:name w:val="Encabezado Car"/>
    <w:basedOn w:val="DefaultParagraphFont"/>
    <w:link w:val="Encabezado"/>
    <w:qFormat/>
    <w:rsid w:val="00672447"/>
    <w:rPr>
      <w:sz w:val="24"/>
      <w:lang w:val="en-US" w:eastAsia="zh-C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jc w:val="both"/>
    </w:pPr>
    <w:rPr>
      <w:rFonts w:ascii="Arial" w:hAnsi="Arial" w:cs="Arial"/>
      <w:i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5" w:customStyle="1">
    <w:name w:val="Título5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" w:customStyle="1">
    <w:name w:val="Epígrafe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21" w:customStyle="1">
    <w:name w:val="Títu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2" w:customStyle="1">
    <w:name w:val="Epígrafe2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11" w:customStyle="1">
    <w:name w:val="Título1"/>
    <w:basedOn w:val="Normal"/>
    <w:qFormat/>
    <w:pPr>
      <w:spacing w:before="240" w:after="60"/>
      <w:jc w:val="center"/>
    </w:pPr>
    <w:rPr>
      <w:rFonts w:ascii="Arial" w:hAnsi="Arial" w:cs="Arial"/>
      <w:b/>
      <w:sz w:val="32"/>
      <w:lang w:val="es-ES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Car" w:customStyle="1">
    <w:name w:val="Car"/>
    <w:basedOn w:val="Normal"/>
    <w:qFormat/>
    <w:pPr>
      <w:spacing w:lineRule="exact" w:line="240" w:before="0" w:after="160"/>
    </w:pPr>
    <w:rPr>
      <w:rFonts w:ascii="Verdana" w:hAnsi="Verdana" w:cs="Verdana"/>
      <w:sz w:val="20"/>
      <w:lang w:val="en-US"/>
    </w:rPr>
  </w:style>
  <w:style w:type="paragraph" w:styleId="Cabecera">
    <w:name w:val="Header"/>
    <w:basedOn w:val="Normal"/>
    <w:link w:val="EncabezadoCar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Textoindependiente21" w:customStyle="1">
    <w:name w:val="Texto independiente 21"/>
    <w:basedOn w:val="Normal"/>
    <w:qFormat/>
    <w:pPr>
      <w:jc w:val="both"/>
    </w:pPr>
    <w:rPr>
      <w:rFonts w:ascii="Arial" w:hAnsi="Arial" w:cs="Arial"/>
    </w:rPr>
  </w:style>
  <w:style w:type="paragraph" w:styleId="Cuerpodetextoconsangra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styleId="Sangra2detindependiente1" w:customStyle="1">
    <w:name w:val="Sangría 2 de t. independiente1"/>
    <w:basedOn w:val="Normal"/>
    <w:qFormat/>
    <w:pPr>
      <w:ind w:left="708" w:hanging="0"/>
      <w:jc w:val="both"/>
    </w:pPr>
    <w:rPr>
      <w:rFonts w:ascii="Arial" w:hAnsi="Arial" w:cs="Arial"/>
      <w:i/>
    </w:rPr>
  </w:style>
  <w:style w:type="paragraph" w:styleId="Footnotetext">
    <w:name w:val="footnote text"/>
    <w:basedOn w:val="Normal"/>
    <w:qFormat/>
    <w:pPr/>
    <w:rPr>
      <w:sz w:val="20"/>
    </w:rPr>
  </w:style>
  <w:style w:type="paragraph" w:styleId="Textoindependiente31" w:customStyle="1">
    <w:name w:val="Texto independiente 31"/>
    <w:basedOn w:val="Normal"/>
    <w:qFormat/>
    <w:pPr>
      <w:jc w:val="both"/>
    </w:pPr>
    <w:rPr>
      <w:rFonts w:ascii="Arial" w:hAnsi="Arial" w:cs="Arial"/>
      <w:b/>
    </w:rPr>
  </w:style>
  <w:style w:type="paragraph" w:styleId="Sangra3detindependiente1" w:customStyle="1">
    <w:name w:val="Sangría 3 de t. independiente1"/>
    <w:basedOn w:val="Normal"/>
    <w:qFormat/>
    <w:pPr>
      <w:ind w:firstLine="708"/>
      <w:jc w:val="both"/>
    </w:pPr>
    <w:rPr>
      <w:rFonts w:ascii="Arial" w:hAnsi="Arial" w:cs="Arial"/>
      <w:b/>
    </w:rPr>
  </w:style>
  <w:style w:type="paragraph" w:styleId="NormalWeb">
    <w:name w:val="Normal (Web)"/>
    <w:basedOn w:val="Normal"/>
    <w:qFormat/>
    <w:pPr>
      <w:spacing w:before="280" w:after="280"/>
    </w:pPr>
    <w:rPr>
      <w:szCs w:val="24"/>
      <w:lang w:val="es-ES"/>
    </w:rPr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EUAlbertina" w:hAnsi="EUAlbertina" w:eastAsia="Times New Roman" w:cs="EUAlbertina"/>
      <w:color w:val="000000"/>
      <w:sz w:val="24"/>
      <w:szCs w:val="24"/>
      <w:lang w:val="es-ES" w:eastAsia="zh-CN" w:bidi="ar-SA"/>
    </w:rPr>
  </w:style>
  <w:style w:type="paragraph" w:styleId="CM1" w:customStyle="1">
    <w:name w:val="CM1"/>
    <w:basedOn w:val="Default"/>
    <w:next w:val="Default"/>
    <w:qFormat/>
    <w:pPr/>
    <w:rPr>
      <w:rFonts w:cs="Times New Roman"/>
      <w:color w:val="00000A"/>
    </w:rPr>
  </w:style>
  <w:style w:type="paragraph" w:styleId="CM3" w:customStyle="1">
    <w:name w:val="CM3"/>
    <w:basedOn w:val="Default"/>
    <w:next w:val="Default"/>
    <w:qFormat/>
    <w:pPr/>
    <w:rPr>
      <w:rFonts w:cs="Times New Roman"/>
      <w:color w:val="00000A"/>
    </w:rPr>
  </w:style>
  <w:style w:type="paragraph" w:styleId="CM4" w:customStyle="1">
    <w:name w:val="CM4"/>
    <w:basedOn w:val="Default"/>
    <w:next w:val="Default"/>
    <w:qFormat/>
    <w:pPr/>
    <w:rPr>
      <w:rFonts w:cs="Times New Roman"/>
      <w:color w:val="00000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  <w:lang w:val="es-ES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62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LibreOffice/5.3.6.1$Windows_X86_64 LibreOffice_project/686f202eff87ef707079aeb7f485847613344eb7</Application>
  <Pages>2</Pages>
  <Words>585</Words>
  <Characters>3234</Characters>
  <CharactersWithSpaces>3863</CharactersWithSpaces>
  <Paragraphs>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2021-04-08T10:06:00Z</dcterms:created>
  <dc:creator>PCM</dc:creator>
  <dc:description/>
  <dc:language>es-ES</dc:language>
  <cp:lastModifiedBy/>
  <cp:lastPrinted>2021-04-08T10:07:00Z</cp:lastPrinted>
  <dcterms:modified xsi:type="dcterms:W3CDTF">2021-04-13T14:03:36Z</dcterms:modified>
  <cp:revision>5</cp:revision>
  <dc:subject/>
  <dc:title>ANEXO 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