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extoindependiente21"/>
        <w:jc w:val="center"/>
        <w:rPr>
          <w:color w:val="000000"/>
        </w:rPr>
      </w:pPr>
      <w:r>
        <w:rPr>
          <w:color w:val="000000"/>
        </w:rPr>
      </w:r>
    </w:p>
    <w:p>
      <w:pPr>
        <w:pStyle w:val="Textoindependiente21"/>
        <w:jc w:val="center"/>
        <w:rPr>
          <w:b/>
          <w:b/>
          <w:sz w:val="20"/>
        </w:rPr>
      </w:pPr>
      <w:r>
        <w:rPr>
          <w:b/>
          <w:color w:val="000000"/>
          <w:sz w:val="20"/>
        </w:rPr>
        <w:t xml:space="preserve">ANEXO III. Designación y aceptación del </w:t>
      </w:r>
      <w:r>
        <w:rPr>
          <w:b/>
          <w:bCs/>
          <w:color w:val="000000"/>
          <w:sz w:val="20"/>
        </w:rPr>
        <w:t>Cargo Técnico</w:t>
      </w:r>
      <w:r>
        <w:rPr>
          <w:b/>
          <w:color w:val="000000"/>
          <w:sz w:val="20"/>
        </w:rPr>
        <w:t xml:space="preserve"> Responsable</w:t>
      </w:r>
    </w:p>
    <w:p>
      <w:pPr>
        <w:pStyle w:val="Textoindependiente21"/>
        <w:jc w:val="center"/>
        <w:rPr>
          <w:color w:val="000000"/>
        </w:rPr>
      </w:pPr>
      <w:r>
        <w:rPr>
          <w:color w:val="000000"/>
        </w:rPr>
      </w:r>
    </w:p>
    <w:tbl>
      <w:tblPr>
        <w:tblW w:w="10381" w:type="dxa"/>
        <w:jc w:val="left"/>
        <w:tblInd w:w="3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41"/>
        <w:gridCol w:w="2561"/>
        <w:gridCol w:w="5678"/>
      </w:tblGrid>
      <w:tr>
        <w:trPr>
          <w:trHeight w:val="300" w:hRule="atLeast"/>
          <w:cantSplit w:val="true"/>
        </w:trPr>
        <w:tc>
          <w:tcPr>
            <w:tcW w:w="2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82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NOMBRE: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 xml:space="preserve">SEGUNDO APELLIDO 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DIRECCIÓN: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LOCALIDAD: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CÓDIGO POSTAL: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PROVINCIA: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TELÉFONO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CORREO ELECTRÓNICO:</w:t>
            </w:r>
          </w:p>
        </w:tc>
      </w:tr>
    </w:tbl>
    <w:p>
      <w:pPr>
        <w:pStyle w:val="Ttulo11"/>
        <w:spacing w:before="0" w:after="0"/>
        <w:jc w:val="lef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Textoindependiente21"/>
        <w:rPr/>
      </w:pPr>
      <w:r>
        <w:rPr>
          <w:color w:val="000000"/>
          <w:sz w:val="22"/>
          <w:szCs w:val="22"/>
        </w:rPr>
        <w:t>En calidad de:</w:t>
      </w:r>
    </w:p>
    <w:p>
      <w:pPr>
        <w:pStyle w:val="Textoindependiente21"/>
        <w:rPr/>
      </w:pPr>
      <w:r>
        <w:rPr>
          <w:color w:val="000000"/>
          <w:sz w:val="22"/>
          <w:szCs w:val="22"/>
        </w:rPr>
        <w:tab/>
      </w:r>
      <w:r>
        <w:rPr>
          <w:rFonts w:eastAsia="Arial"/>
          <w:color w:val="000000"/>
          <w:sz w:val="48"/>
          <w:szCs w:val="48"/>
        </w:rPr>
        <w:t>□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2"/>
          <w:szCs w:val="22"/>
        </w:rPr>
        <w:t>Persona Interlocutora Única</w:t>
      </w:r>
      <w:r>
        <w:rPr>
          <w:color w:val="000000"/>
          <w:sz w:val="22"/>
          <w:szCs w:val="22"/>
        </w:rPr>
        <w:t>, en el caso de solicitudes colectivas.</w:t>
      </w:r>
    </w:p>
    <w:p>
      <w:pPr>
        <w:pStyle w:val="Textoindependiente21"/>
        <w:rPr/>
      </w:pPr>
      <w:r>
        <w:rPr>
          <w:color w:val="000000"/>
          <w:sz w:val="22"/>
          <w:szCs w:val="22"/>
        </w:rPr>
        <w:tab/>
      </w:r>
      <w:r>
        <w:rPr>
          <w:rFonts w:eastAsia="Arial"/>
          <w:color w:val="000000"/>
          <w:sz w:val="48"/>
          <w:szCs w:val="48"/>
        </w:rPr>
        <w:t>□</w:t>
      </w:r>
      <w:r>
        <w:rPr>
          <w:color w:val="000000"/>
          <w:sz w:val="48"/>
          <w:szCs w:val="48"/>
        </w:rPr>
        <w:t xml:space="preserve"> </w:t>
      </w:r>
      <w:r>
        <w:rPr>
          <w:color w:val="000000"/>
          <w:sz w:val="22"/>
          <w:szCs w:val="22"/>
        </w:rPr>
        <w:t>Solicitante / Representante legal, en el caso de solicitudes individuales.</w:t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/>
      </w:pPr>
      <w:r>
        <w:rPr>
          <w:color w:val="000000"/>
          <w:sz w:val="22"/>
          <w:szCs w:val="22"/>
        </w:rPr>
        <w:t xml:space="preserve">Designa como </w:t>
      </w:r>
      <w:r>
        <w:rPr>
          <w:bCs/>
          <w:color w:val="000000"/>
          <w:sz w:val="22"/>
          <w:szCs w:val="22"/>
        </w:rPr>
        <w:t>cargo</w:t>
      </w:r>
      <w:r>
        <w:rPr>
          <w:color w:val="000000"/>
          <w:sz w:val="22"/>
          <w:szCs w:val="22"/>
        </w:rPr>
        <w:t xml:space="preserve"> Técnico</w:t>
      </w:r>
      <w:r>
        <w:rPr>
          <w:bCs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Responsable de la solicitud de ayuda a la Reestructuración y/o Reconversión de Viñedo objeto de esta solicitud a:</w:t>
      </w:r>
    </w:p>
    <w:p>
      <w:pPr>
        <w:pStyle w:val="Textoindependiente21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tbl>
      <w:tblPr>
        <w:tblW w:w="10381" w:type="dxa"/>
        <w:jc w:val="left"/>
        <w:tblInd w:w="3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41"/>
        <w:gridCol w:w="2561"/>
        <w:gridCol w:w="5678"/>
      </w:tblGrid>
      <w:tr>
        <w:trPr>
          <w:trHeight w:val="300" w:hRule="atLeast"/>
          <w:cantSplit w:val="true"/>
        </w:trPr>
        <w:tc>
          <w:tcPr>
            <w:tcW w:w="2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82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NOMBRE: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 xml:space="preserve">SEGUNDO APELLIDO 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DIRECCIÓN: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LOCALIDAD: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CÓDIGO POSTAL: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PROVINCIA: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TELÉFONO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CORREO ELECTRÓNICO:</w:t>
            </w:r>
          </w:p>
        </w:tc>
      </w:tr>
    </w:tbl>
    <w:p>
      <w:pPr>
        <w:pStyle w:val="Ttulo11"/>
        <w:spacing w:before="0" w:after="0"/>
        <w:jc w:val="lef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/>
      </w:pPr>
      <w:r>
        <w:rPr>
          <w:bCs/>
          <w:color w:val="000000"/>
          <w:sz w:val="22"/>
          <w:szCs w:val="22"/>
        </w:rPr>
        <w:t xml:space="preserve">Que acepta la </w:t>
      </w:r>
      <w:r>
        <w:rPr>
          <w:color w:val="000000"/>
          <w:sz w:val="22"/>
          <w:szCs w:val="22"/>
        </w:rPr>
        <w:t xml:space="preserve">designación como </w:t>
      </w:r>
      <w:r>
        <w:rPr>
          <w:bCs/>
          <w:color w:val="000000"/>
          <w:sz w:val="22"/>
          <w:szCs w:val="22"/>
        </w:rPr>
        <w:t>cargo</w:t>
      </w:r>
      <w:r>
        <w:rPr>
          <w:color w:val="000000"/>
          <w:sz w:val="22"/>
          <w:szCs w:val="22"/>
        </w:rPr>
        <w:t xml:space="preserve"> técnico responsable para la tramitación de la ayuda a la reestructuración y reconversión del viñedo y declara cumplir los requisitos establecidos en el apartado sexto de la </w:t>
      </w:r>
      <w:r>
        <w:rPr>
          <w:bCs/>
          <w:color w:val="000000"/>
          <w:sz w:val="22"/>
          <w:szCs w:val="22"/>
        </w:rPr>
        <w:t>orden</w:t>
      </w:r>
      <w:r>
        <w:rPr>
          <w:color w:val="000000"/>
          <w:sz w:val="22"/>
          <w:szCs w:val="22"/>
        </w:rPr>
        <w:t xml:space="preserve"> de convocatoria.</w:t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cs="Calibri" w:ascii="Calibri" w:hAnsi="Calibri"/>
          <w:color w:val="000000"/>
          <w:sz w:val="16"/>
          <w:szCs w:val="16"/>
        </w:rPr>
        <w:t xml:space="preserve">El responsable del tratamiento de tus datos personales es: DIRECCIÓN GENERAL DE INNOVACIÓN Y PROMOCIÓN ALIMENTARIA. La finalidad de este tratamiento es: Obtención de datos de carácter personal de los interesados en procesos vitícolas para realizar inventario. Control y gestión de ayudas del sector vitícola, función estadística pública, regulación del mercado vitícola y trazabilidad de la calidad de la producción vitícola. La legitimación para realizar el tratamiento de tus datos nos la da: obligación legal para el responsable. No vamos a comunicar tus datos personales a terceros destinatarios salvo obligación legal. Se pueden ejercitar los derechos de </w:t>
      </w:r>
      <w:hyperlink r:id="rId2">
        <w:r>
          <w:rPr>
            <w:rStyle w:val="EnlacedeInternet"/>
            <w:rFonts w:cs="Calibri" w:ascii="Calibri" w:hAnsi="Calibri"/>
            <w:color w:val="000000"/>
            <w:sz w:val="16"/>
            <w:szCs w:val="16"/>
          </w:rPr>
          <w:t>acceso</w:t>
        </w:r>
      </w:hyperlink>
      <w:r>
        <w:rPr>
          <w:rFonts w:cs="Calibri" w:ascii="Calibri" w:hAnsi="Calibri"/>
          <w:color w:val="000000"/>
          <w:sz w:val="16"/>
          <w:szCs w:val="16"/>
        </w:rPr>
        <w:t xml:space="preserve">, </w:t>
      </w:r>
      <w:hyperlink r:id="rId3">
        <w:r>
          <w:rPr>
            <w:rStyle w:val="EnlacedeInternet"/>
            <w:rFonts w:cs="Calibri" w:ascii="Calibri" w:hAnsi="Calibri"/>
            <w:color w:val="000000"/>
            <w:sz w:val="16"/>
            <w:szCs w:val="16"/>
          </w:rPr>
          <w:t>rectificación</w:t>
        </w:r>
      </w:hyperlink>
      <w:r>
        <w:rPr>
          <w:rFonts w:cs="Calibri" w:ascii="Calibri" w:hAnsi="Calibri"/>
          <w:color w:val="000000"/>
          <w:sz w:val="16"/>
          <w:szCs w:val="16"/>
        </w:rPr>
        <w:t xml:space="preserve">, </w:t>
      </w:r>
      <w:hyperlink r:id="rId4">
        <w:r>
          <w:rPr>
            <w:rStyle w:val="EnlacedeInternet"/>
            <w:rFonts w:cs="Calibri" w:ascii="Calibri" w:hAnsi="Calibri"/>
            <w:color w:val="000000"/>
            <w:sz w:val="16"/>
            <w:szCs w:val="16"/>
          </w:rPr>
          <w:t>supresión</w:t>
        </w:r>
      </w:hyperlink>
      <w:r>
        <w:rPr>
          <w:rFonts w:cs="Calibri" w:ascii="Calibri" w:hAnsi="Calibri"/>
          <w:color w:val="000000"/>
          <w:sz w:val="16"/>
          <w:szCs w:val="16"/>
        </w:rPr>
        <w:t xml:space="preserve"> ,</w:t>
      </w:r>
      <w:hyperlink r:id="rId5">
        <w:r>
          <w:rPr>
            <w:rStyle w:val="EnlacedeInternet"/>
            <w:rFonts w:cs="Calibri" w:ascii="Calibri" w:hAnsi="Calibri"/>
            <w:color w:val="000000"/>
            <w:sz w:val="16"/>
            <w:szCs w:val="16"/>
          </w:rPr>
          <w:t>portabilidad de los datos</w:t>
        </w:r>
      </w:hyperlink>
      <w:r>
        <w:rPr>
          <w:rFonts w:cs="Calibri" w:ascii="Calibri" w:hAnsi="Calibri"/>
          <w:color w:val="000000"/>
          <w:sz w:val="16"/>
          <w:szCs w:val="16"/>
        </w:rPr>
        <w:t xml:space="preserve"> , y los de </w:t>
      </w:r>
      <w:hyperlink r:id="rId6">
        <w:r>
          <w:rPr>
            <w:rStyle w:val="EnlacedeInternet"/>
            <w:rFonts w:cs="Calibri" w:ascii="Calibri" w:hAnsi="Calibri"/>
            <w:color w:val="000000"/>
            <w:sz w:val="16"/>
            <w:szCs w:val="16"/>
          </w:rPr>
          <w:t>limitación</w:t>
        </w:r>
      </w:hyperlink>
      <w:r>
        <w:rPr>
          <w:rFonts w:cs="Calibri" w:ascii="Calibri" w:hAnsi="Calibri"/>
          <w:color w:val="000000"/>
          <w:sz w:val="16"/>
          <w:szCs w:val="16"/>
        </w:rPr>
        <w:t xml:space="preserve"> y </w:t>
      </w:r>
      <w:hyperlink r:id="rId7">
        <w:r>
          <w:rPr>
            <w:rStyle w:val="EnlacedeInternet"/>
            <w:rFonts w:cs="Calibri" w:ascii="Calibri" w:hAnsi="Calibri"/>
            <w:color w:val="000000"/>
            <w:sz w:val="16"/>
            <w:szCs w:val="16"/>
          </w:rPr>
          <w:t>oposición a los tratamientos</w:t>
        </w:r>
      </w:hyperlink>
      <w:r>
        <w:rPr>
          <w:rFonts w:cs="Calibri" w:ascii="Calibri" w:hAnsi="Calibri"/>
          <w:color w:val="000000"/>
          <w:sz w:val="16"/>
          <w:szCs w:val="16"/>
        </w:rPr>
        <w:t xml:space="preserve"> , así como a </w:t>
      </w:r>
      <w:hyperlink r:id="rId8">
        <w:r>
          <w:rPr>
            <w:rStyle w:val="EnlacedeInternet"/>
            <w:rFonts w:cs="Calibri" w:ascii="Calibri" w:hAnsi="Calibri"/>
            <w:color w:val="000000"/>
            <w:sz w:val="16"/>
            <w:szCs w:val="16"/>
          </w:rPr>
          <w:t>no ser objeto de decisiones individuales automatizadas</w:t>
        </w:r>
      </w:hyperlink>
      <w:r>
        <w:rPr>
          <w:rFonts w:cs="Calibri" w:ascii="Calibri" w:hAnsi="Calibri"/>
          <w:color w:val="000000"/>
          <w:sz w:val="16"/>
          <w:szCs w:val="16"/>
        </w:rPr>
        <w:t xml:space="preserve"> , a través de la sede electrónica de la Administración de la Comunidad Autónoma de Aragón con los formularios normalizados disponibles. </w:t>
      </w:r>
    </w:p>
    <w:p>
      <w:pPr>
        <w:pStyle w:val="Normal"/>
        <w:jc w:val="both"/>
        <w:rPr/>
      </w:pPr>
      <w:bookmarkStart w:id="0" w:name="_GoBack"/>
      <w:bookmarkEnd w:id="0"/>
      <w:r>
        <w:rPr>
          <w:rFonts w:cs="Calibri" w:ascii="Calibri" w:hAnsi="Calibri"/>
          <w:color w:val="000000"/>
          <w:sz w:val="16"/>
          <w:szCs w:val="16"/>
        </w:rPr>
        <w:t xml:space="preserve">Puedes obtener información adicional en el Registro de Actividades de Tratamiento del Gobierno de Aragón “REGISTRO VITÍCOLA“, en el siguiente enlace </w:t>
      </w:r>
      <w:hyperlink r:id="rId9">
        <w:r>
          <w:rPr>
            <w:rStyle w:val="EnlacedeInternet"/>
            <w:rFonts w:cs="Calibri" w:ascii="Calibri" w:hAnsi="Calibri"/>
            <w:color w:val="000000"/>
            <w:sz w:val="16"/>
            <w:szCs w:val="16"/>
          </w:rPr>
          <w:t>https://aplicaciones.aragon.es/notif_lopd_pub/details.action?fileId=162</w:t>
        </w:r>
      </w:hyperlink>
      <w:r>
        <w:rPr>
          <w:rFonts w:cs="Calibri" w:ascii="Calibri" w:hAnsi="Calibri"/>
          <w:color w:val="000000"/>
          <w:sz w:val="16"/>
          <w:szCs w:val="16"/>
        </w:rPr>
        <w:t xml:space="preserve"> </w:t>
      </w:r>
    </w:p>
    <w:p>
      <w:pPr>
        <w:pStyle w:val="Normal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Normal"/>
        <w:rPr/>
      </w:pPr>
      <w:r>
        <w:rPr>
          <w:rFonts w:cs="Arial" w:ascii="Arial" w:hAnsi="Arial"/>
          <w:color w:val="000000"/>
          <w:sz w:val="22"/>
          <w:szCs w:val="22"/>
        </w:rPr>
        <w:tab/>
        <w:tab/>
      </w:r>
    </w:p>
    <w:p>
      <w:pPr>
        <w:pStyle w:val="Normal"/>
        <w:rPr/>
      </w:pPr>
      <w:r>
        <w:rPr>
          <w:rFonts w:cs="Arial" w:ascii="Arial" w:hAnsi="Arial"/>
          <w:color w:val="000000"/>
          <w:sz w:val="22"/>
          <w:szCs w:val="22"/>
        </w:rPr>
        <w:tab/>
        <w:tab/>
        <w:t>En __________________, a _____ de _________________ de 20</w:t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/>
      </w:pPr>
      <w:r>
        <w:rPr>
          <w:color w:val="000000"/>
          <w:sz w:val="18"/>
          <w:szCs w:val="18"/>
        </w:rPr>
        <w:t xml:space="preserve">Fdo.: </w:t>
      </w:r>
      <w:r>
        <w:rPr>
          <w:bCs/>
          <w:color w:val="000000"/>
          <w:sz w:val="18"/>
          <w:szCs w:val="18"/>
        </w:rPr>
        <w:t xml:space="preserve">El Cargo Técnico </w:t>
      </w:r>
      <w:r>
        <w:rPr>
          <w:color w:val="000000"/>
          <w:sz w:val="18"/>
          <w:szCs w:val="18"/>
        </w:rPr>
        <w:t>Responsable</w:t>
        <w:tab/>
        <w:tab/>
        <w:tab/>
        <w:t xml:space="preserve">Fdo.: </w:t>
      </w:r>
      <w:r>
        <w:rPr>
          <w:bCs/>
          <w:color w:val="000000"/>
          <w:sz w:val="18"/>
          <w:szCs w:val="18"/>
        </w:rPr>
        <w:t>La persona Interlocutora Única/La persona solicitante</w:t>
      </w:r>
    </w:p>
    <w:p>
      <w:pPr>
        <w:pStyle w:val="Textoindependiente21"/>
        <w:rPr>
          <w:color w:val="FF007F"/>
          <w:sz w:val="22"/>
          <w:szCs w:val="22"/>
        </w:rPr>
      </w:pPr>
      <w:r>
        <w:rPr>
          <w:color w:val="FF007F"/>
          <w:sz w:val="22"/>
          <w:szCs w:val="22"/>
        </w:rPr>
      </w:r>
    </w:p>
    <w:p>
      <w:pPr>
        <w:pStyle w:val="Ttulo11"/>
        <w:spacing w:before="0" w:after="0"/>
        <w:ind w:right="664" w:hanging="0"/>
        <w:jc w:val="center"/>
        <w:rPr/>
      </w:pPr>
      <w:r>
        <w:rPr>
          <w:b w:val="false"/>
          <w:color w:val="00000A"/>
          <w:sz w:val="22"/>
          <w:szCs w:val="22"/>
        </w:rPr>
        <w:t>DIRECCIÓN GENERAL DE INNOVACIÓN Y PROMOCIÓN ALIMENTARIA</w:t>
      </w:r>
    </w:p>
    <w:p>
      <w:pPr>
        <w:pStyle w:val="Normal"/>
        <w:rPr/>
      </w:pPr>
      <w:r>
        <w:rPr/>
      </w:r>
    </w:p>
    <w:sectPr>
      <w:headerReference w:type="default" r:id="rId10"/>
      <w:type w:val="nextPage"/>
      <w:pgSz w:w="11906" w:h="16838"/>
      <w:pgMar w:left="788" w:right="818" w:header="936" w:top="993" w:footer="0" w:bottom="1079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EUAlberti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enter" w:pos="4252" w:leader="none"/>
        <w:tab w:val="center" w:pos="7920" w:leader="none"/>
        <w:tab w:val="right" w:pos="8504" w:leader="none"/>
        <w:tab w:val="right" w:pos="14940" w:leader="none"/>
      </w:tabs>
      <w:rPr/>
    </w:pPr>
    <w: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257175</wp:posOffset>
          </wp:positionH>
          <wp:positionV relativeFrom="paragraph">
            <wp:posOffset>23495</wp:posOffset>
          </wp:positionV>
          <wp:extent cx="1579245" cy="616585"/>
          <wp:effectExtent l="0" t="0" r="0" b="0"/>
          <wp:wrapSquare wrapText="largest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616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ab/>
    </w:r>
    <w:r>
      <w:rPr>
        <w:lang w:eastAsia="es-ES" w:bidi="ar-SA"/>
      </w:rPr>
      <w:t xml:space="preserve">                                                                     </w:t>
    </w:r>
    <w:r>
      <w:rPr>
        <w:lang w:eastAsia="es-ES" w:bidi="ar-SA"/>
      </w:rPr>
      <w:drawing>
        <wp:inline distT="0" distB="0" distL="0" distR="0">
          <wp:extent cx="1909445" cy="594360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363" t="-1355" r="-363" b="-1355"/>
                  <a:stretch>
                    <a:fillRect/>
                  </a:stretch>
                </pic:blipFill>
                <pic:spPr bwMode="auto">
                  <a:xfrm>
                    <a:off x="0" y="0"/>
                    <a:ext cx="1909445" cy="594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30"/>
  <w:displayBackgroundShape/>
  <w:embedSystemFonts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es-ES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SimSun" w:cs="Mangal"/>
      <w:color w:val="auto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ind w:left="708" w:hanging="0"/>
      <w:jc w:val="both"/>
      <w:outlineLvl w:val="1"/>
    </w:pPr>
    <w:rPr>
      <w:rFonts w:ascii="Arial" w:hAnsi="Arial" w:cs="Arial"/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uentedeprrafopredeter5" w:customStyle="1">
    <w:name w:val="Fuente de párrafo predeter.5"/>
    <w:qFormat/>
    <w:rPr/>
  </w:style>
  <w:style w:type="character" w:styleId="Fuentedeprrafopredeter4" w:customStyle="1">
    <w:name w:val="Fuente de párrafo predeter.4"/>
    <w:qFormat/>
    <w:rPr/>
  </w:style>
  <w:style w:type="character" w:styleId="Fuentedeprrafopredeter3" w:customStyle="1">
    <w:name w:val="Fuente de párrafo predeter.3"/>
    <w:qFormat/>
    <w:rPr/>
  </w:style>
  <w:style w:type="character" w:styleId="WW8Num2z0" w:customStyle="1">
    <w:name w:val="WW8Num2z0"/>
    <w:qFormat/>
    <w:rPr>
      <w:sz w:val="20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Symbol" w:hAnsi="Symbol" w:cs="Symbol"/>
      <w:sz w:val="16"/>
      <w:szCs w:val="16"/>
    </w:rPr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>
      <w:rFonts w:ascii="Symbol" w:hAnsi="Symbol" w:cs="Symbol"/>
      <w:color w:val="00000A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>
      <w:rFonts w:ascii="Arial" w:hAnsi="Arial" w:cs="Arial"/>
      <w:sz w:val="18"/>
    </w:rPr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9z0" w:customStyle="1">
    <w:name w:val="WW8Num9z0"/>
    <w:qFormat/>
    <w:rPr>
      <w:rFonts w:ascii="Symbol" w:hAnsi="Symbol" w:cs="Symbol"/>
      <w:color w:val="FF0000"/>
      <w:sz w:val="16"/>
      <w:szCs w:val="16"/>
    </w:rPr>
  </w:style>
  <w:style w:type="character" w:styleId="WW8Num10z0" w:customStyle="1">
    <w:name w:val="WW8Num10z0"/>
    <w:qFormat/>
    <w:rPr>
      <w:rFonts w:ascii="Times New Roman" w:hAnsi="Times New Roman" w:cs="Times New Roman"/>
      <w:sz w:val="20"/>
    </w:rPr>
  </w:style>
  <w:style w:type="character" w:styleId="WW8Num11z0" w:customStyle="1">
    <w:name w:val="WW8Num11z0"/>
    <w:qFormat/>
    <w:rPr>
      <w:rFonts w:ascii="Symbol" w:hAnsi="Symbol" w:cs="Symbol"/>
      <w:sz w:val="16"/>
      <w:szCs w:val="16"/>
    </w:rPr>
  </w:style>
  <w:style w:type="character" w:styleId="WW8Num12z0" w:customStyle="1">
    <w:name w:val="WW8Num12z0"/>
    <w:qFormat/>
    <w:rPr>
      <w:rFonts w:ascii="Arial" w:hAnsi="Arial" w:cs="Arial"/>
      <w:sz w:val="16"/>
      <w:szCs w:val="16"/>
    </w:rPr>
  </w:style>
  <w:style w:type="character" w:styleId="Fuentedeprrafopredeter2" w:customStyle="1">
    <w:name w:val="Fuente de párrafo predeter.2"/>
    <w:qFormat/>
    <w:rPr/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1" w:customStyle="1">
    <w:name w:val="WW8Num9z1"/>
    <w:qFormat/>
    <w:rPr>
      <w:b/>
      <w:i w:val="false"/>
      <w:sz w:val="24"/>
      <w:szCs w:val="24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9z4" w:customStyle="1">
    <w:name w:val="WW8Num9z4"/>
    <w:qFormat/>
    <w:rPr>
      <w:rFonts w:ascii="Courier New" w:hAnsi="Courier New" w:cs="Courier New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3z0" w:customStyle="1">
    <w:name w:val="WW8Num13z0"/>
    <w:qFormat/>
    <w:rPr>
      <w:rFonts w:ascii="Symbol" w:hAnsi="Symbol" w:cs="Symbol"/>
      <w:sz w:val="16"/>
      <w:szCs w:val="16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Arial" w:hAnsi="Arial" w:cs="Arial"/>
      <w:sz w:val="16"/>
      <w:szCs w:val="16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Fuentedeprrafopredeter1" w:customStyle="1">
    <w:name w:val="Fuente de párrafo predeter.1"/>
    <w:qFormat/>
    <w:rPr/>
  </w:style>
  <w:style w:type="character" w:styleId="CarCar" w:customStyle="1">
    <w:name w:val="Car Car"/>
    <w:qFormat/>
    <w:rPr>
      <w:rFonts w:ascii="Arial" w:hAnsi="Arial" w:cs="Arial"/>
      <w:sz w:val="24"/>
      <w:lang w:val="en-US" w:bidi="ar-SA"/>
    </w:rPr>
  </w:style>
  <w:style w:type="character" w:styleId="Textoazul1accesiblenormal" w:customStyle="1">
    <w:name w:val="textoazul1accesible normal"/>
    <w:basedOn w:val="Fuentedeprrafopredeter1"/>
    <w:qFormat/>
    <w:rPr/>
  </w:style>
  <w:style w:type="character" w:styleId="EnlacedeInternet" w:customStyle="1">
    <w:name w:val="Enlace de Internet"/>
    <w:rPr>
      <w:color w:val="000080"/>
      <w:u w:val="single"/>
    </w:rPr>
  </w:style>
  <w:style w:type="character" w:styleId="EnlacedeInternetvisitado" w:customStyle="1">
    <w:name w:val="Enlace de Internet visitado"/>
    <w:basedOn w:val="Fuentedeprrafopredeter1"/>
    <w:rPr>
      <w:color w:val="800080"/>
      <w:u w:val="single"/>
    </w:rPr>
  </w:style>
  <w:style w:type="character" w:styleId="Fuentedeprrafopredeter6" w:customStyle="1">
    <w:name w:val="Fuente de párrafo predeter.6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jc w:val="both"/>
    </w:pPr>
    <w:rPr>
      <w:rFonts w:ascii="Arial" w:hAnsi="Arial" w:cs="Arial"/>
      <w:i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5" w:customStyle="1">
    <w:name w:val="Título5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4" w:customStyle="1">
    <w:name w:val="Título4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1" w:customStyle="1">
    <w:name w:val="Descripció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" w:customStyle="1">
    <w:name w:val="Epígrafe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21" w:customStyle="1">
    <w:name w:val="Títu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2" w:customStyle="1">
    <w:name w:val="Epígrafe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11" w:customStyle="1">
    <w:name w:val="Título1"/>
    <w:basedOn w:val="Normal"/>
    <w:qFormat/>
    <w:pPr>
      <w:spacing w:before="240" w:after="60"/>
      <w:jc w:val="center"/>
    </w:pPr>
    <w:rPr>
      <w:rFonts w:ascii="Arial" w:hAnsi="Arial" w:cs="Arial"/>
      <w:b/>
      <w:sz w:val="32"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r" w:customStyle="1">
    <w:name w:val="Car"/>
    <w:basedOn w:val="Normal"/>
    <w:qFormat/>
    <w:pPr>
      <w:spacing w:lineRule="exact" w:line="240" w:before="0" w:after="160"/>
    </w:pPr>
    <w:rPr>
      <w:rFonts w:ascii="Verdana" w:hAnsi="Verdana" w:cs="Verdana"/>
      <w:sz w:val="20"/>
      <w:lang w:val="en-US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Textoindependiente21" w:customStyle="1">
    <w:name w:val="Texto independiente 21"/>
    <w:basedOn w:val="Normal"/>
    <w:qFormat/>
    <w:pPr>
      <w:jc w:val="both"/>
    </w:pPr>
    <w:rPr>
      <w:rFonts w:ascii="Arial" w:hAnsi="Arial" w:cs="Arial"/>
    </w:rPr>
  </w:style>
  <w:style w:type="paragraph" w:styleId="Cuerpodetextoconsangra">
    <w:name w:val="Body Text Indent"/>
    <w:basedOn w:val="Normal"/>
    <w:pPr>
      <w:ind w:firstLine="1134"/>
      <w:jc w:val="both"/>
    </w:pPr>
    <w:rPr>
      <w:rFonts w:ascii="Arial" w:hAnsi="Arial" w:cs="Arial"/>
    </w:rPr>
  </w:style>
  <w:style w:type="paragraph" w:styleId="Sangra2detindependiente1" w:customStyle="1">
    <w:name w:val="Sangría 2 de t. independiente1"/>
    <w:basedOn w:val="Normal"/>
    <w:qFormat/>
    <w:pPr>
      <w:ind w:left="708" w:hanging="0"/>
      <w:jc w:val="both"/>
    </w:pPr>
    <w:rPr>
      <w:rFonts w:ascii="Arial" w:hAnsi="Arial" w:cs="Arial"/>
      <w:i/>
    </w:rPr>
  </w:style>
  <w:style w:type="paragraph" w:styleId="Footnotetext">
    <w:name w:val="footnote text"/>
    <w:basedOn w:val="Normal"/>
    <w:qFormat/>
    <w:pPr/>
    <w:rPr>
      <w:sz w:val="20"/>
    </w:rPr>
  </w:style>
  <w:style w:type="paragraph" w:styleId="Textoindependiente31" w:customStyle="1">
    <w:name w:val="Texto independiente 31"/>
    <w:basedOn w:val="Normal"/>
    <w:qFormat/>
    <w:pPr>
      <w:jc w:val="both"/>
    </w:pPr>
    <w:rPr>
      <w:rFonts w:ascii="Arial" w:hAnsi="Arial" w:cs="Arial"/>
      <w:b/>
    </w:rPr>
  </w:style>
  <w:style w:type="paragraph" w:styleId="Sangra3detindependiente1" w:customStyle="1">
    <w:name w:val="Sangría 3 de t. independiente1"/>
    <w:basedOn w:val="Normal"/>
    <w:qFormat/>
    <w:pPr>
      <w:ind w:firstLine="708"/>
      <w:jc w:val="both"/>
    </w:pPr>
    <w:rPr>
      <w:rFonts w:ascii="Arial" w:hAnsi="Arial" w:cs="Arial"/>
      <w:b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ascii="EUAlbertina" w:hAnsi="EUAlbertina" w:cs="EUAlbertina" w:eastAsia="SimSun"/>
      <w:color w:val="000000"/>
      <w:sz w:val="24"/>
      <w:szCs w:val="24"/>
      <w:lang w:val="es-ES" w:eastAsia="zh-CN" w:bidi="hi-IN"/>
    </w:rPr>
  </w:style>
  <w:style w:type="paragraph" w:styleId="CM1" w:customStyle="1">
    <w:name w:val="CM1"/>
    <w:basedOn w:val="Default"/>
    <w:next w:val="Default"/>
    <w:qFormat/>
    <w:pPr/>
    <w:rPr>
      <w:rFonts w:cs="Times New Roman"/>
      <w:color w:val="00000A"/>
    </w:rPr>
  </w:style>
  <w:style w:type="paragraph" w:styleId="CM3" w:customStyle="1">
    <w:name w:val="CM3"/>
    <w:basedOn w:val="Default"/>
    <w:next w:val="Default"/>
    <w:qFormat/>
    <w:pPr/>
    <w:rPr>
      <w:rFonts w:cs="Times New Roman"/>
      <w:color w:val="00000A"/>
    </w:rPr>
  </w:style>
  <w:style w:type="paragraph" w:styleId="CM4" w:customStyle="1">
    <w:name w:val="CM4"/>
    <w:basedOn w:val="Default"/>
    <w:next w:val="Default"/>
    <w:qFormat/>
    <w:pPr/>
    <w:rPr>
      <w:rFonts w:cs="Times New Roman"/>
      <w:color w:val="00000A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Epgrafe3" w:customStyle="1">
    <w:name w:val="Epígrafe3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Epgrafe4" w:customStyle="1">
    <w:name w:val="Epígrafe4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6" w:customStyle="1">
    <w:name w:val="Título6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ragon.es/en/tramitador/-/tramite/proteccion-datos-ejercicio-derecho-acceso" TargetMode="External"/><Relationship Id="rId3" Type="http://schemas.openxmlformats.org/officeDocument/2006/relationships/hyperlink" Target="https://www.aragon.es/en/tramitador/-/tramite/proteccion-datos-ejercicio-derecho-rectificacion" TargetMode="External"/><Relationship Id="rId4" Type="http://schemas.openxmlformats.org/officeDocument/2006/relationships/hyperlink" Target="https://www.aragon.es/en/tramitador/-/tramite/proteccion-datos-ejercicio-derecho-supresion-derecho-olvido" TargetMode="External"/><Relationship Id="rId5" Type="http://schemas.openxmlformats.org/officeDocument/2006/relationships/hyperlink" Target="https://www.aragon.es/en/tramitador/-/tramite/proteccion-datos-ejercicio-derecho-portabilidad-datos" TargetMode="External"/><Relationship Id="rId6" Type="http://schemas.openxmlformats.org/officeDocument/2006/relationships/hyperlink" Target="https://www.aragon.es/en/tramitador/-/tramite/proteccion-datos-ejercicio-derecho-limitacion" TargetMode="External"/><Relationship Id="rId7" Type="http://schemas.openxmlformats.org/officeDocument/2006/relationships/hyperlink" Target="https://www.aragon.es/en/tramitador/-/tramite/proteccion-datos-ejercicio-derecho-oposicion" TargetMode="External"/><Relationship Id="rId8" Type="http://schemas.openxmlformats.org/officeDocument/2006/relationships/hyperlink" Target="https://www.aragon.es/en/tramitador/-/tramite/proteccion-datos-ejercicio-derecho-objeto-decisiones-individuales-automatizadas" TargetMode="External"/><Relationship Id="rId9" Type="http://schemas.openxmlformats.org/officeDocument/2006/relationships/hyperlink" Target="https://aplicaciones.aragon.es/notif_lopd_pub/details.action?fileId=162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LibreOffice/5.3.6.1$Windows_X86_64 LibreOffice_project/686f202eff87ef707079aeb7f485847613344eb7</Application>
  <Pages>1</Pages>
  <Words>314</Words>
  <Characters>1938</Characters>
  <CharactersWithSpaces>2303</CharactersWithSpaces>
  <Paragraphs>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2023-02-27T12:56:00Z</dcterms:created>
  <dc:creator>PCM</dc:creator>
  <dc:description/>
  <dc:language>es-ES</dc:language>
  <cp:lastModifiedBy/>
  <cp:lastPrinted>2018-03-08T12:10:00Z</cp:lastPrinted>
  <dcterms:modified xsi:type="dcterms:W3CDTF">2024-01-15T17:34:34Z</dcterms:modified>
  <cp:revision>5</cp:revision>
  <dc:subject/>
  <dc:title>ANEXO 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